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F" w:rsidRPr="00DF22DA" w:rsidRDefault="00E83F8F" w:rsidP="00FB0552">
      <w:pPr>
        <w:ind w:left="-90" w:right="-360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990600" cy="1005385"/>
            <wp:effectExtent l="19050" t="0" r="0" b="0"/>
            <wp:docPr id="2" name="Picture 1" descr="Glenn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n County Logo.jpg"/>
                    <pic:cNvPicPr/>
                  </pic:nvPicPr>
                  <pic:blipFill>
                    <a:blip r:embed="rId9" cstate="print"/>
                    <a:srcRect l="28042" t="23673" r="36508" b="4857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4F3">
        <w:rPr>
          <w:rFonts w:ascii="Calibri" w:hAnsi="Calibri"/>
        </w:rPr>
        <w:tab/>
      </w:r>
      <w:r w:rsidR="00DF44F3">
        <w:rPr>
          <w:rFonts w:ascii="Calibri" w:hAnsi="Calibri"/>
        </w:rPr>
        <w:tab/>
      </w:r>
      <w:r w:rsidR="00DF44F3">
        <w:rPr>
          <w:rFonts w:ascii="Calibri" w:hAnsi="Calibri"/>
        </w:rPr>
        <w:tab/>
        <w:t xml:space="preserve">      </w:t>
      </w:r>
      <w:r w:rsidR="005B60C2">
        <w:rPr>
          <w:rFonts w:asciiTheme="majorHAnsi" w:hAnsiTheme="majorHAnsi"/>
          <w:b/>
        </w:rPr>
        <w:tab/>
      </w:r>
      <w:r w:rsidR="00AF6333" w:rsidRPr="00DF22DA">
        <w:rPr>
          <w:rFonts w:ascii="Calibri" w:hAnsi="Calibri"/>
        </w:rPr>
        <w:tab/>
      </w:r>
      <w:r w:rsidR="00AF6333" w:rsidRPr="00DF22DA">
        <w:rPr>
          <w:rFonts w:ascii="Calibri" w:hAnsi="Calibri"/>
        </w:rPr>
        <w:tab/>
      </w:r>
      <w:r w:rsidR="00AF6333" w:rsidRPr="00DF22DA">
        <w:rPr>
          <w:rFonts w:ascii="Calibri" w:hAnsi="Calibri"/>
        </w:rPr>
        <w:tab/>
      </w:r>
      <w:r w:rsidR="00AF6333" w:rsidRPr="00DF22DA">
        <w:rPr>
          <w:rFonts w:ascii="Calibri" w:hAnsi="Calibri"/>
        </w:rPr>
        <w:tab/>
      </w:r>
      <w:r w:rsidR="004A6A59">
        <w:rPr>
          <w:rFonts w:ascii="Calibri" w:hAnsi="Calibri"/>
          <w:noProof/>
        </w:rPr>
        <w:drawing>
          <wp:inline distT="0" distB="0" distL="0" distR="0">
            <wp:extent cx="1185587" cy="111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024" cy="112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8F" w:rsidRPr="00E83F8F" w:rsidRDefault="00FB278F" w:rsidP="00D0616B">
      <w:pPr>
        <w:ind w:left="-360" w:right="-360"/>
        <w:jc w:val="center"/>
        <w:rPr>
          <w:rFonts w:ascii="Calibri" w:hAnsi="Calibri"/>
          <w:b/>
          <w:sz w:val="28"/>
          <w:szCs w:val="28"/>
        </w:rPr>
      </w:pPr>
      <w:r w:rsidRPr="00E83F8F">
        <w:rPr>
          <w:rFonts w:ascii="Calibri" w:hAnsi="Calibri"/>
          <w:b/>
          <w:sz w:val="28"/>
          <w:szCs w:val="28"/>
        </w:rPr>
        <w:t>FOR IMMEDIATE RELEASE</w:t>
      </w:r>
    </w:p>
    <w:p w:rsidR="00400AB8" w:rsidRPr="00DF22DA" w:rsidRDefault="004E2D71" w:rsidP="00D0616B">
      <w:pPr>
        <w:ind w:left="-360" w:right="-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 31, 2017</w:t>
      </w:r>
    </w:p>
    <w:p w:rsidR="00400AB8" w:rsidRPr="00DF22DA" w:rsidRDefault="00400AB8" w:rsidP="00D0616B">
      <w:pPr>
        <w:ind w:left="-360" w:right="-360"/>
        <w:jc w:val="center"/>
        <w:rPr>
          <w:rFonts w:ascii="Calibri" w:hAnsi="Calibri"/>
        </w:rPr>
      </w:pPr>
    </w:p>
    <w:p w:rsidR="00FB278F" w:rsidRPr="00E83F8F" w:rsidRDefault="00FB278F" w:rsidP="00D0616B">
      <w:pPr>
        <w:ind w:left="-360" w:right="-360"/>
        <w:jc w:val="center"/>
        <w:rPr>
          <w:rFonts w:ascii="Calibri" w:hAnsi="Calibri"/>
          <w:b/>
          <w:sz w:val="28"/>
          <w:szCs w:val="28"/>
        </w:rPr>
      </w:pPr>
      <w:r w:rsidRPr="00E83F8F">
        <w:rPr>
          <w:rFonts w:ascii="Calibri" w:hAnsi="Calibri"/>
          <w:b/>
          <w:sz w:val="28"/>
          <w:szCs w:val="28"/>
        </w:rPr>
        <w:t xml:space="preserve">A JOINT AIR </w:t>
      </w:r>
      <w:r w:rsidR="00E83F8F" w:rsidRPr="00E83F8F">
        <w:rPr>
          <w:rFonts w:ascii="Calibri" w:hAnsi="Calibri"/>
          <w:b/>
          <w:sz w:val="28"/>
          <w:szCs w:val="28"/>
        </w:rPr>
        <w:t>POLLUTION</w:t>
      </w:r>
      <w:r w:rsidRPr="00E83F8F">
        <w:rPr>
          <w:rFonts w:ascii="Calibri" w:hAnsi="Calibri"/>
          <w:b/>
          <w:sz w:val="28"/>
          <w:szCs w:val="28"/>
        </w:rPr>
        <w:t xml:space="preserve"> ADVISORY ISSUED BY THE </w:t>
      </w:r>
    </w:p>
    <w:p w:rsidR="00FB278F" w:rsidRPr="00DF22DA" w:rsidRDefault="00E83F8F" w:rsidP="00D0616B">
      <w:pPr>
        <w:ind w:left="-360" w:right="-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GLENN COUNTY AIR POLLUTION</w:t>
      </w:r>
      <w:r w:rsidR="00FB278F" w:rsidRPr="00DF22DA">
        <w:rPr>
          <w:rFonts w:ascii="Calibri" w:hAnsi="Calibri"/>
          <w:b/>
          <w:u w:val="single"/>
        </w:rPr>
        <w:t xml:space="preserve"> </w:t>
      </w:r>
      <w:r w:rsidR="00CF018A">
        <w:rPr>
          <w:rFonts w:ascii="Calibri" w:hAnsi="Calibri"/>
          <w:b/>
          <w:u w:val="single"/>
        </w:rPr>
        <w:t xml:space="preserve">CONTROL </w:t>
      </w:r>
      <w:r w:rsidR="00FB278F" w:rsidRPr="00DF22DA">
        <w:rPr>
          <w:rFonts w:ascii="Calibri" w:hAnsi="Calibri"/>
          <w:b/>
          <w:u w:val="single"/>
        </w:rPr>
        <w:t>DISTRICT</w:t>
      </w:r>
      <w:r w:rsidR="00AB1EA3">
        <w:rPr>
          <w:rFonts w:ascii="Calibri" w:hAnsi="Calibri"/>
          <w:b/>
          <w:u w:val="single"/>
        </w:rPr>
        <w:t xml:space="preserve"> </w:t>
      </w:r>
      <w:r w:rsidR="00D0616B">
        <w:rPr>
          <w:rFonts w:ascii="Calibri" w:hAnsi="Calibri"/>
          <w:b/>
          <w:u w:val="single"/>
        </w:rPr>
        <w:t>and</w:t>
      </w:r>
    </w:p>
    <w:p w:rsidR="00FB278F" w:rsidRPr="00DF22DA" w:rsidRDefault="00E83F8F" w:rsidP="00D0616B">
      <w:pPr>
        <w:ind w:left="-360" w:right="-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GLENN</w:t>
      </w:r>
      <w:r w:rsidR="00FB278F" w:rsidRPr="00DF22DA">
        <w:rPr>
          <w:rFonts w:ascii="Calibri" w:hAnsi="Calibri"/>
          <w:b/>
          <w:u w:val="single"/>
        </w:rPr>
        <w:t xml:space="preserve"> COUNTY </w:t>
      </w:r>
      <w:r w:rsidR="00E43F8D">
        <w:rPr>
          <w:rFonts w:ascii="Calibri" w:hAnsi="Calibri"/>
          <w:b/>
          <w:u w:val="single"/>
        </w:rPr>
        <w:t>PUBLIC HEALTH DEPARTMENT</w:t>
      </w:r>
    </w:p>
    <w:p w:rsidR="00FB278F" w:rsidRPr="00DF22DA" w:rsidRDefault="00FB278F" w:rsidP="00D0616B">
      <w:pPr>
        <w:ind w:left="-360" w:right="-360"/>
        <w:jc w:val="both"/>
        <w:rPr>
          <w:rFonts w:ascii="Calibri" w:hAnsi="Calibri"/>
          <w:b/>
        </w:rPr>
      </w:pPr>
      <w:r w:rsidRPr="00DF22DA">
        <w:rPr>
          <w:rFonts w:ascii="Calibri" w:hAnsi="Calibri"/>
          <w:b/>
        </w:rPr>
        <w:t>To:</w:t>
      </w:r>
    </w:p>
    <w:p w:rsidR="00FB278F" w:rsidRPr="00AB1EA3" w:rsidRDefault="00FB278F" w:rsidP="00D0616B">
      <w:pPr>
        <w:tabs>
          <w:tab w:val="left" w:pos="4320"/>
        </w:tabs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>Public Safety Personnel</w:t>
      </w:r>
      <w:r w:rsidRPr="00AB1EA3">
        <w:rPr>
          <w:rFonts w:ascii="Calibri" w:hAnsi="Calibri"/>
          <w:sz w:val="22"/>
          <w:szCs w:val="22"/>
        </w:rPr>
        <w:tab/>
      </w:r>
      <w:r w:rsidR="00E85833" w:rsidRPr="00AB1EA3">
        <w:rPr>
          <w:rFonts w:ascii="Calibri" w:hAnsi="Calibri"/>
          <w:sz w:val="22"/>
          <w:szCs w:val="22"/>
        </w:rPr>
        <w:tab/>
      </w:r>
      <w:r w:rsidRPr="00AB1EA3">
        <w:rPr>
          <w:rFonts w:ascii="Calibri" w:hAnsi="Calibri"/>
          <w:sz w:val="22"/>
          <w:szCs w:val="22"/>
        </w:rPr>
        <w:t>School Officials</w:t>
      </w:r>
    </w:p>
    <w:p w:rsidR="00ED7A1D" w:rsidRDefault="00FB278F" w:rsidP="00ED7A1D">
      <w:pPr>
        <w:tabs>
          <w:tab w:val="left" w:pos="4320"/>
        </w:tabs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>News Media</w:t>
      </w:r>
      <w:r w:rsidRPr="00AB1EA3">
        <w:rPr>
          <w:rFonts w:ascii="Calibri" w:hAnsi="Calibri"/>
          <w:sz w:val="22"/>
          <w:szCs w:val="22"/>
        </w:rPr>
        <w:tab/>
      </w:r>
      <w:r w:rsidR="00E85833" w:rsidRPr="00AB1EA3">
        <w:rPr>
          <w:rFonts w:ascii="Calibri" w:hAnsi="Calibri"/>
          <w:sz w:val="22"/>
          <w:szCs w:val="22"/>
        </w:rPr>
        <w:tab/>
      </w:r>
      <w:r w:rsidR="00456104">
        <w:rPr>
          <w:rFonts w:ascii="Calibri" w:hAnsi="Calibri"/>
          <w:sz w:val="22"/>
          <w:szCs w:val="22"/>
        </w:rPr>
        <w:t xml:space="preserve">California </w:t>
      </w:r>
      <w:r w:rsidR="00ED7A1D" w:rsidRPr="00AB1EA3">
        <w:rPr>
          <w:rFonts w:ascii="Calibri" w:hAnsi="Calibri"/>
          <w:sz w:val="22"/>
          <w:szCs w:val="22"/>
        </w:rPr>
        <w:t xml:space="preserve">Air </w:t>
      </w:r>
      <w:r w:rsidR="00ED7A1D">
        <w:rPr>
          <w:rFonts w:ascii="Calibri" w:hAnsi="Calibri"/>
          <w:sz w:val="22"/>
          <w:szCs w:val="22"/>
        </w:rPr>
        <w:t>Pollution</w:t>
      </w:r>
      <w:r w:rsidR="00ED7A1D" w:rsidRPr="00AB1EA3">
        <w:rPr>
          <w:rFonts w:ascii="Calibri" w:hAnsi="Calibri"/>
          <w:sz w:val="22"/>
          <w:szCs w:val="22"/>
        </w:rPr>
        <w:t xml:space="preserve"> </w:t>
      </w:r>
      <w:r w:rsidR="00ED7A1D">
        <w:rPr>
          <w:rFonts w:ascii="Calibri" w:hAnsi="Calibri"/>
          <w:sz w:val="22"/>
          <w:szCs w:val="22"/>
        </w:rPr>
        <w:t>Control</w:t>
      </w:r>
      <w:r w:rsidR="00ED7A1D" w:rsidRPr="00AB1EA3">
        <w:rPr>
          <w:rFonts w:ascii="Calibri" w:hAnsi="Calibri"/>
          <w:sz w:val="22"/>
          <w:szCs w:val="22"/>
        </w:rPr>
        <w:t xml:space="preserve"> </w:t>
      </w:r>
      <w:r w:rsidR="00456104">
        <w:rPr>
          <w:rFonts w:ascii="Calibri" w:hAnsi="Calibri"/>
          <w:sz w:val="22"/>
          <w:szCs w:val="22"/>
        </w:rPr>
        <w:t>Officers Assn.</w:t>
      </w:r>
      <w:r w:rsidR="00ED7A1D">
        <w:rPr>
          <w:rFonts w:ascii="Calibri" w:hAnsi="Calibri"/>
          <w:sz w:val="22"/>
          <w:szCs w:val="22"/>
        </w:rPr>
        <w:tab/>
      </w:r>
    </w:p>
    <w:p w:rsidR="00ED7A1D" w:rsidRDefault="00FB278F" w:rsidP="00ED7A1D">
      <w:pPr>
        <w:tabs>
          <w:tab w:val="left" w:pos="4320"/>
        </w:tabs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>County Health Officer</w:t>
      </w:r>
      <w:r w:rsidR="00ED7A1D">
        <w:rPr>
          <w:rFonts w:ascii="Calibri" w:hAnsi="Calibri"/>
          <w:sz w:val="22"/>
          <w:szCs w:val="22"/>
        </w:rPr>
        <w:tab/>
      </w:r>
      <w:r w:rsidR="00ED7A1D">
        <w:rPr>
          <w:rFonts w:ascii="Calibri" w:hAnsi="Calibri"/>
          <w:sz w:val="22"/>
          <w:szCs w:val="22"/>
        </w:rPr>
        <w:tab/>
      </w:r>
      <w:r w:rsidR="00ED7A1D" w:rsidRPr="00AB1EA3">
        <w:rPr>
          <w:rFonts w:ascii="Calibri" w:hAnsi="Calibri"/>
          <w:sz w:val="22"/>
          <w:szCs w:val="22"/>
        </w:rPr>
        <w:t>Local/State Law &amp; Fire Federal</w:t>
      </w:r>
    </w:p>
    <w:p w:rsidR="00FB278F" w:rsidRPr="00AB1EA3" w:rsidRDefault="00ED7A1D" w:rsidP="00ED7A1D">
      <w:pPr>
        <w:tabs>
          <w:tab w:val="left" w:pos="4320"/>
        </w:tabs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>Local Hospitals</w:t>
      </w:r>
      <w:r w:rsidR="00FB278F" w:rsidRPr="00AB1EA3">
        <w:rPr>
          <w:rFonts w:ascii="Calibri" w:hAnsi="Calibri"/>
          <w:sz w:val="22"/>
          <w:szCs w:val="22"/>
        </w:rPr>
        <w:tab/>
      </w:r>
      <w:r w:rsidR="00E85833" w:rsidRPr="00AB1E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Glenn</w:t>
      </w:r>
      <w:r w:rsidRPr="00AB1EA3">
        <w:rPr>
          <w:rFonts w:ascii="Calibri" w:hAnsi="Calibri"/>
          <w:sz w:val="22"/>
          <w:szCs w:val="22"/>
        </w:rPr>
        <w:t xml:space="preserve"> County &amp; City Managers</w:t>
      </w:r>
      <w:r w:rsidR="00400AB8" w:rsidRPr="00AB1EA3">
        <w:rPr>
          <w:rFonts w:ascii="Calibri" w:hAnsi="Calibri"/>
          <w:sz w:val="22"/>
          <w:szCs w:val="22"/>
        </w:rPr>
        <w:tab/>
      </w:r>
      <w:r w:rsidR="00E85833" w:rsidRPr="00AB1EA3">
        <w:rPr>
          <w:rFonts w:ascii="Calibri" w:hAnsi="Calibri"/>
          <w:sz w:val="22"/>
          <w:szCs w:val="22"/>
        </w:rPr>
        <w:tab/>
      </w:r>
    </w:p>
    <w:p w:rsidR="00400AB8" w:rsidRPr="00AB1EA3" w:rsidRDefault="00FB278F" w:rsidP="00D0616B">
      <w:pPr>
        <w:tabs>
          <w:tab w:val="left" w:pos="4320"/>
        </w:tabs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ab/>
      </w:r>
      <w:r w:rsidR="00E85833" w:rsidRPr="00AB1EA3">
        <w:rPr>
          <w:rFonts w:ascii="Calibri" w:hAnsi="Calibri"/>
          <w:sz w:val="22"/>
          <w:szCs w:val="22"/>
        </w:rPr>
        <w:tab/>
      </w:r>
      <w:r w:rsidR="00400AB8" w:rsidRPr="00AB1EA3">
        <w:rPr>
          <w:rFonts w:ascii="Calibri" w:hAnsi="Calibri"/>
          <w:sz w:val="22"/>
          <w:szCs w:val="22"/>
        </w:rPr>
        <w:t xml:space="preserve"> </w:t>
      </w:r>
    </w:p>
    <w:p w:rsidR="00FB278F" w:rsidRPr="00AB1EA3" w:rsidRDefault="00400AB8" w:rsidP="00D0616B">
      <w:pPr>
        <w:tabs>
          <w:tab w:val="left" w:pos="4320"/>
        </w:tabs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ab/>
      </w:r>
    </w:p>
    <w:p w:rsidR="00BC742E" w:rsidRPr="00AB1EA3" w:rsidRDefault="00FB278F" w:rsidP="00D0616B">
      <w:pPr>
        <w:ind w:left="-360" w:right="-36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b/>
          <w:sz w:val="22"/>
          <w:szCs w:val="22"/>
        </w:rPr>
        <w:t>From:</w:t>
      </w:r>
      <w:r w:rsidR="00BC742E" w:rsidRPr="00AB1EA3">
        <w:rPr>
          <w:rFonts w:ascii="Calibri" w:hAnsi="Calibri"/>
          <w:sz w:val="22"/>
          <w:szCs w:val="22"/>
        </w:rPr>
        <w:tab/>
      </w:r>
      <w:r w:rsidR="00E83F8F">
        <w:rPr>
          <w:rFonts w:ascii="Calibri" w:hAnsi="Calibri"/>
          <w:sz w:val="22"/>
          <w:szCs w:val="22"/>
        </w:rPr>
        <w:t>Marcie Skelton</w:t>
      </w:r>
      <w:r w:rsidRPr="00AB1EA3">
        <w:rPr>
          <w:rFonts w:ascii="Calibri" w:hAnsi="Calibri"/>
          <w:sz w:val="22"/>
          <w:szCs w:val="22"/>
        </w:rPr>
        <w:t>, Air Pollution Control Officer</w:t>
      </w:r>
    </w:p>
    <w:p w:rsidR="00FB278F" w:rsidRPr="00AB1EA3" w:rsidRDefault="00BC742E" w:rsidP="00D0616B">
      <w:pPr>
        <w:ind w:left="-360" w:right="-360" w:hanging="720"/>
        <w:jc w:val="both"/>
        <w:rPr>
          <w:rFonts w:ascii="Calibri" w:hAnsi="Calibri"/>
          <w:sz w:val="22"/>
          <w:szCs w:val="22"/>
        </w:rPr>
      </w:pPr>
      <w:r w:rsidRPr="00AB1EA3">
        <w:rPr>
          <w:rFonts w:ascii="Calibri" w:hAnsi="Calibri"/>
          <w:sz w:val="22"/>
          <w:szCs w:val="22"/>
        </w:rPr>
        <w:tab/>
      </w:r>
      <w:r w:rsidR="004A0591" w:rsidRPr="00AB1EA3">
        <w:rPr>
          <w:rFonts w:ascii="Calibri" w:hAnsi="Calibri"/>
          <w:sz w:val="22"/>
          <w:szCs w:val="22"/>
        </w:rPr>
        <w:tab/>
      </w:r>
      <w:r w:rsidR="004A0591" w:rsidRPr="00AB1EA3">
        <w:rPr>
          <w:rFonts w:ascii="Calibri" w:hAnsi="Calibri"/>
          <w:sz w:val="22"/>
          <w:szCs w:val="22"/>
        </w:rPr>
        <w:tab/>
      </w:r>
      <w:r w:rsidR="00E83F8F" w:rsidRPr="00E83F8F">
        <w:rPr>
          <w:rFonts w:ascii="Calibri" w:hAnsi="Calibri"/>
          <w:sz w:val="22"/>
          <w:szCs w:val="22"/>
        </w:rPr>
        <w:t>Grinnell Norton, Deputy Director Public Health/Director of Nursing</w:t>
      </w:r>
    </w:p>
    <w:p w:rsidR="00FB278F" w:rsidRPr="00AB1EA3" w:rsidRDefault="00FB278F" w:rsidP="00D0616B">
      <w:pPr>
        <w:ind w:left="-360" w:right="-360"/>
        <w:jc w:val="both"/>
        <w:rPr>
          <w:rFonts w:ascii="Calibri" w:hAnsi="Calibri"/>
          <w:sz w:val="22"/>
          <w:szCs w:val="22"/>
        </w:rPr>
      </w:pPr>
    </w:p>
    <w:p w:rsidR="00300E24" w:rsidRDefault="00300E24" w:rsidP="00B51E75">
      <w:pPr>
        <w:pStyle w:val="BodyText"/>
        <w:ind w:left="-360" w:right="-360"/>
        <w:rPr>
          <w:rFonts w:asciiTheme="minorHAnsi" w:hAnsiTheme="minorHAnsi"/>
        </w:rPr>
      </w:pPr>
      <w:r w:rsidRPr="00300E24">
        <w:rPr>
          <w:rFonts w:asciiTheme="minorHAnsi" w:hAnsiTheme="minorHAnsi"/>
        </w:rPr>
        <w:t xml:space="preserve">The </w:t>
      </w:r>
      <w:r w:rsidR="00E83F8F">
        <w:rPr>
          <w:rFonts w:asciiTheme="minorHAnsi" w:hAnsiTheme="minorHAnsi"/>
        </w:rPr>
        <w:t>Glenn</w:t>
      </w:r>
      <w:r w:rsidRPr="00300E24">
        <w:rPr>
          <w:rFonts w:asciiTheme="minorHAnsi" w:hAnsiTheme="minorHAnsi"/>
        </w:rPr>
        <w:t xml:space="preserve"> County Air </w:t>
      </w:r>
      <w:r w:rsidR="00E83F8F">
        <w:rPr>
          <w:rFonts w:asciiTheme="minorHAnsi" w:hAnsiTheme="minorHAnsi"/>
        </w:rPr>
        <w:t>Pollution</w:t>
      </w:r>
      <w:r w:rsidRPr="00300E24">
        <w:rPr>
          <w:rFonts w:asciiTheme="minorHAnsi" w:hAnsiTheme="minorHAnsi"/>
        </w:rPr>
        <w:t xml:space="preserve"> </w:t>
      </w:r>
      <w:r w:rsidR="00E83F8F">
        <w:rPr>
          <w:rFonts w:asciiTheme="minorHAnsi" w:hAnsiTheme="minorHAnsi"/>
        </w:rPr>
        <w:t>Control</w:t>
      </w:r>
      <w:r w:rsidRPr="00300E24">
        <w:rPr>
          <w:rFonts w:asciiTheme="minorHAnsi" w:hAnsiTheme="minorHAnsi"/>
        </w:rPr>
        <w:t xml:space="preserve"> District </w:t>
      </w:r>
      <w:r w:rsidR="00B51E75">
        <w:rPr>
          <w:rFonts w:asciiTheme="minorHAnsi" w:hAnsiTheme="minorHAnsi"/>
        </w:rPr>
        <w:t xml:space="preserve">and the </w:t>
      </w:r>
      <w:r w:rsidR="00E83F8F">
        <w:rPr>
          <w:rFonts w:asciiTheme="minorHAnsi" w:hAnsiTheme="minorHAnsi"/>
        </w:rPr>
        <w:t>Glenn</w:t>
      </w:r>
      <w:r w:rsidR="00B51E75">
        <w:rPr>
          <w:rFonts w:asciiTheme="minorHAnsi" w:hAnsiTheme="minorHAnsi"/>
        </w:rPr>
        <w:t xml:space="preserve"> County Public Health Office are</w:t>
      </w:r>
      <w:r w:rsidRPr="00300E24">
        <w:rPr>
          <w:rFonts w:asciiTheme="minorHAnsi" w:hAnsiTheme="minorHAnsi"/>
        </w:rPr>
        <w:t xml:space="preserve"> issuing this Air </w:t>
      </w:r>
      <w:r w:rsidR="00E83F8F">
        <w:rPr>
          <w:rFonts w:asciiTheme="minorHAnsi" w:hAnsiTheme="minorHAnsi"/>
        </w:rPr>
        <w:t>Pollution</w:t>
      </w:r>
      <w:r w:rsidRPr="00300E24">
        <w:rPr>
          <w:rFonts w:asciiTheme="minorHAnsi" w:hAnsiTheme="minorHAnsi"/>
        </w:rPr>
        <w:t xml:space="preserve"> Advisory to notify the public of poor air </w:t>
      </w:r>
      <w:r w:rsidR="00CE472D">
        <w:rPr>
          <w:rFonts w:asciiTheme="minorHAnsi" w:hAnsiTheme="minorHAnsi"/>
        </w:rPr>
        <w:t>quality</w:t>
      </w:r>
      <w:r w:rsidRPr="00300E24">
        <w:rPr>
          <w:rFonts w:asciiTheme="minorHAnsi" w:hAnsiTheme="minorHAnsi"/>
        </w:rPr>
        <w:t xml:space="preserve"> conditions in </w:t>
      </w:r>
      <w:r w:rsidR="00E83F8F">
        <w:rPr>
          <w:rFonts w:asciiTheme="minorHAnsi" w:hAnsiTheme="minorHAnsi"/>
        </w:rPr>
        <w:t>Glenn</w:t>
      </w:r>
      <w:r w:rsidRPr="00300E24">
        <w:rPr>
          <w:rFonts w:asciiTheme="minorHAnsi" w:hAnsiTheme="minorHAnsi"/>
        </w:rPr>
        <w:t xml:space="preserve"> County due to smoke from </w:t>
      </w:r>
      <w:r w:rsidR="004E2D71">
        <w:rPr>
          <w:rFonts w:asciiTheme="minorHAnsi" w:hAnsiTheme="minorHAnsi"/>
        </w:rPr>
        <w:t>multiple fires in surrounding counties</w:t>
      </w:r>
      <w:r w:rsidRPr="00300E24">
        <w:rPr>
          <w:rFonts w:asciiTheme="minorHAnsi" w:hAnsiTheme="minorHAnsi"/>
        </w:rPr>
        <w:t xml:space="preserve">.  </w:t>
      </w:r>
      <w:r w:rsidR="003F5433">
        <w:rPr>
          <w:rFonts w:asciiTheme="minorHAnsi" w:hAnsiTheme="minorHAnsi"/>
        </w:rPr>
        <w:t>Smoke impacts are expected</w:t>
      </w:r>
      <w:r w:rsidR="00B51E75">
        <w:rPr>
          <w:rFonts w:asciiTheme="minorHAnsi" w:hAnsiTheme="minorHAnsi"/>
        </w:rPr>
        <w:t xml:space="preserve"> to</w:t>
      </w:r>
      <w:r w:rsidR="003F5433">
        <w:rPr>
          <w:rFonts w:asciiTheme="minorHAnsi" w:hAnsiTheme="minorHAnsi"/>
        </w:rPr>
        <w:t xml:space="preserve"> vary during the course of each day depending on wind direction and the intensity of </w:t>
      </w:r>
      <w:r w:rsidR="004F724D">
        <w:rPr>
          <w:rFonts w:asciiTheme="minorHAnsi" w:hAnsiTheme="minorHAnsi"/>
        </w:rPr>
        <w:t xml:space="preserve">the </w:t>
      </w:r>
      <w:r w:rsidR="003F5433">
        <w:rPr>
          <w:rFonts w:asciiTheme="minorHAnsi" w:hAnsiTheme="minorHAnsi"/>
        </w:rPr>
        <w:t>fire activi</w:t>
      </w:r>
      <w:r w:rsidR="004E2D71">
        <w:rPr>
          <w:rFonts w:asciiTheme="minorHAnsi" w:hAnsiTheme="minorHAnsi"/>
        </w:rPr>
        <w:t>ty.</w:t>
      </w:r>
    </w:p>
    <w:p w:rsidR="00B51E75" w:rsidRPr="00300E24" w:rsidRDefault="00B51E75" w:rsidP="00B51E75">
      <w:pPr>
        <w:pStyle w:val="BodyText"/>
        <w:ind w:left="-360" w:right="-360"/>
        <w:rPr>
          <w:rFonts w:asciiTheme="minorHAnsi" w:hAnsiTheme="minorHAnsi"/>
        </w:rPr>
      </w:pPr>
    </w:p>
    <w:p w:rsidR="00300E24" w:rsidRPr="00300E24" w:rsidRDefault="00300E24" w:rsidP="00300E24">
      <w:pPr>
        <w:ind w:left="-360" w:right="-360"/>
        <w:jc w:val="both"/>
        <w:rPr>
          <w:rFonts w:asciiTheme="minorHAnsi" w:hAnsiTheme="minorHAnsi"/>
        </w:rPr>
      </w:pPr>
      <w:r w:rsidRPr="00300E24">
        <w:rPr>
          <w:rFonts w:asciiTheme="minorHAnsi" w:hAnsiTheme="minorHAnsi"/>
        </w:rPr>
        <w:t xml:space="preserve">The major air pollutant of concern is fine particulate matter also known as PM2.5. While all persons may experience varying degrees of symptoms, more sensitive </w:t>
      </w:r>
      <w:r w:rsidR="00CE472D">
        <w:rPr>
          <w:rFonts w:asciiTheme="minorHAnsi" w:hAnsiTheme="minorHAnsi"/>
        </w:rPr>
        <w:t>populations</w:t>
      </w:r>
      <w:r w:rsidRPr="00300E24">
        <w:rPr>
          <w:rFonts w:asciiTheme="minorHAnsi" w:hAnsiTheme="minorHAnsi"/>
        </w:rPr>
        <w:t xml:space="preserve">, such as the young, </w:t>
      </w:r>
      <w:r w:rsidR="00DD5974">
        <w:rPr>
          <w:rFonts w:asciiTheme="minorHAnsi" w:hAnsiTheme="minorHAnsi"/>
        </w:rPr>
        <w:t xml:space="preserve">the </w:t>
      </w:r>
      <w:r w:rsidR="00D27363">
        <w:rPr>
          <w:rFonts w:asciiTheme="minorHAnsi" w:hAnsiTheme="minorHAnsi"/>
        </w:rPr>
        <w:t>elderly, pregnant women,</w:t>
      </w:r>
      <w:r w:rsidR="00657584">
        <w:rPr>
          <w:rFonts w:asciiTheme="minorHAnsi" w:hAnsiTheme="minorHAnsi"/>
        </w:rPr>
        <w:t xml:space="preserve"> smokers,</w:t>
      </w:r>
      <w:r w:rsidRPr="00300E24">
        <w:rPr>
          <w:rFonts w:asciiTheme="minorHAnsi" w:hAnsiTheme="minorHAnsi"/>
        </w:rPr>
        <w:t xml:space="preserve"> and those with respiratory conditions</w:t>
      </w:r>
      <w:r w:rsidR="00CE472D">
        <w:rPr>
          <w:rFonts w:asciiTheme="minorHAnsi" w:hAnsiTheme="minorHAnsi"/>
        </w:rPr>
        <w:t>,</w:t>
      </w:r>
      <w:r w:rsidRPr="00300E24">
        <w:rPr>
          <w:rFonts w:asciiTheme="minorHAnsi" w:hAnsiTheme="minorHAnsi"/>
        </w:rPr>
        <w:t xml:space="preserve"> are of greatest risk </w:t>
      </w:r>
      <w:r w:rsidR="00CE472D">
        <w:rPr>
          <w:rFonts w:asciiTheme="minorHAnsi" w:hAnsiTheme="minorHAnsi"/>
        </w:rPr>
        <w:t>to</w:t>
      </w:r>
      <w:r w:rsidRPr="00300E24">
        <w:rPr>
          <w:rFonts w:asciiTheme="minorHAnsi" w:hAnsiTheme="minorHAnsi"/>
        </w:rPr>
        <w:t xml:space="preserve"> </w:t>
      </w:r>
      <w:r w:rsidR="00CE472D">
        <w:rPr>
          <w:rFonts w:asciiTheme="minorHAnsi" w:hAnsiTheme="minorHAnsi"/>
        </w:rPr>
        <w:t>experience</w:t>
      </w:r>
      <w:r w:rsidRPr="00300E24">
        <w:rPr>
          <w:rFonts w:asciiTheme="minorHAnsi" w:hAnsiTheme="minorHAnsi"/>
        </w:rPr>
        <w:t xml:space="preserve"> more aggrav</w:t>
      </w:r>
      <w:r w:rsidR="00CE472D">
        <w:rPr>
          <w:rFonts w:asciiTheme="minorHAnsi" w:hAnsiTheme="minorHAnsi"/>
        </w:rPr>
        <w:t>ated symptoms which may include</w:t>
      </w:r>
      <w:r w:rsidRPr="00300E24">
        <w:rPr>
          <w:rFonts w:asciiTheme="minorHAnsi" w:hAnsiTheme="minorHAnsi"/>
        </w:rPr>
        <w:t xml:space="preserve"> but are not limited to coughing, watery and itchy eyes, and difficulty in breathing.</w:t>
      </w:r>
    </w:p>
    <w:p w:rsidR="00300E24" w:rsidRPr="00300E24" w:rsidRDefault="00300E24" w:rsidP="00300E24">
      <w:pPr>
        <w:ind w:left="-360" w:right="-360"/>
        <w:jc w:val="both"/>
        <w:rPr>
          <w:rFonts w:asciiTheme="minorHAnsi" w:hAnsiTheme="minorHAnsi"/>
        </w:rPr>
      </w:pPr>
    </w:p>
    <w:p w:rsidR="00300E24" w:rsidRDefault="00300E24" w:rsidP="00300E24">
      <w:pPr>
        <w:ind w:left="-360" w:right="-360"/>
        <w:jc w:val="both"/>
        <w:rPr>
          <w:rFonts w:asciiTheme="minorHAnsi" w:hAnsiTheme="minorHAnsi"/>
        </w:rPr>
      </w:pPr>
      <w:r w:rsidRPr="00300E24">
        <w:rPr>
          <w:rFonts w:asciiTheme="minorHAnsi" w:hAnsiTheme="minorHAnsi"/>
        </w:rPr>
        <w:t>Persons experiencing questionable or severe symptoms should seek professional medical advice and treatment.</w:t>
      </w:r>
      <w:r>
        <w:rPr>
          <w:rFonts w:asciiTheme="minorHAnsi" w:hAnsiTheme="minorHAnsi"/>
        </w:rPr>
        <w:t xml:space="preserve">  </w:t>
      </w:r>
      <w:r w:rsidRPr="00300E24">
        <w:rPr>
          <w:rFonts w:asciiTheme="minorHAnsi" w:hAnsiTheme="minorHAnsi"/>
        </w:rPr>
        <w:t xml:space="preserve">The following actions are recommended as needed in areas impacted by smoke during the poor air </w:t>
      </w:r>
      <w:r w:rsidR="00C77A13">
        <w:rPr>
          <w:rFonts w:asciiTheme="minorHAnsi" w:hAnsiTheme="minorHAnsi"/>
        </w:rPr>
        <w:t>p</w:t>
      </w:r>
      <w:r w:rsidR="00E83F8F">
        <w:rPr>
          <w:rFonts w:asciiTheme="minorHAnsi" w:hAnsiTheme="minorHAnsi"/>
        </w:rPr>
        <w:t>ollution</w:t>
      </w:r>
      <w:r w:rsidRPr="00300E24">
        <w:rPr>
          <w:rFonts w:asciiTheme="minorHAnsi" w:hAnsiTheme="minorHAnsi"/>
        </w:rPr>
        <w:t xml:space="preserve"> periods:</w:t>
      </w:r>
    </w:p>
    <w:p w:rsidR="002A7F48" w:rsidRPr="00300E24" w:rsidRDefault="002A7F48" w:rsidP="00300E24">
      <w:pPr>
        <w:ind w:left="-360" w:right="-360"/>
        <w:jc w:val="both"/>
        <w:rPr>
          <w:rFonts w:asciiTheme="minorHAnsi" w:hAnsiTheme="minorHAnsi"/>
        </w:rPr>
      </w:pPr>
    </w:p>
    <w:p w:rsidR="00300E24" w:rsidRPr="00300E24" w:rsidRDefault="00300E24" w:rsidP="00300E24">
      <w:pPr>
        <w:numPr>
          <w:ilvl w:val="0"/>
          <w:numId w:val="1"/>
        </w:numPr>
        <w:ind w:right="-360"/>
        <w:jc w:val="both"/>
        <w:rPr>
          <w:rFonts w:asciiTheme="minorHAnsi" w:hAnsiTheme="minorHAnsi"/>
        </w:rPr>
      </w:pPr>
      <w:r w:rsidRPr="00300E24">
        <w:rPr>
          <w:rFonts w:asciiTheme="minorHAnsi" w:hAnsiTheme="minorHAnsi"/>
        </w:rPr>
        <w:t>Limit outdoor exertion by children, students and adults;</w:t>
      </w:r>
    </w:p>
    <w:p w:rsidR="00300E24" w:rsidRPr="00300E24" w:rsidRDefault="00300E24" w:rsidP="00300E24">
      <w:pPr>
        <w:numPr>
          <w:ilvl w:val="0"/>
          <w:numId w:val="1"/>
        </w:numPr>
        <w:ind w:right="-360"/>
        <w:jc w:val="both"/>
        <w:rPr>
          <w:rFonts w:asciiTheme="minorHAnsi" w:hAnsiTheme="minorHAnsi"/>
        </w:rPr>
      </w:pPr>
      <w:r w:rsidRPr="00300E24">
        <w:rPr>
          <w:rFonts w:asciiTheme="minorHAnsi" w:hAnsiTheme="minorHAnsi"/>
        </w:rPr>
        <w:t xml:space="preserve">Reduction in travel including unnecessary driving; </w:t>
      </w:r>
    </w:p>
    <w:p w:rsidR="00300E24" w:rsidRDefault="00300E24" w:rsidP="00300E24">
      <w:pPr>
        <w:numPr>
          <w:ilvl w:val="0"/>
          <w:numId w:val="1"/>
        </w:numPr>
        <w:ind w:right="-360"/>
        <w:jc w:val="both"/>
        <w:rPr>
          <w:rFonts w:asciiTheme="minorHAnsi" w:hAnsiTheme="minorHAnsi"/>
        </w:rPr>
      </w:pPr>
      <w:r w:rsidRPr="00300E24">
        <w:rPr>
          <w:rFonts w:asciiTheme="minorHAnsi" w:hAnsiTheme="minorHAnsi"/>
        </w:rPr>
        <w:t>Avoid the use of non-HEPA paper face mask filters which are not capable of fi</w:t>
      </w:r>
      <w:r w:rsidR="00D27363">
        <w:rPr>
          <w:rFonts w:asciiTheme="minorHAnsi" w:hAnsiTheme="minorHAnsi"/>
        </w:rPr>
        <w:t>ltering extra fine particulates;</w:t>
      </w:r>
    </w:p>
    <w:p w:rsidR="00D27363" w:rsidRPr="00300E24" w:rsidRDefault="00D27363" w:rsidP="00300E24">
      <w:pPr>
        <w:numPr>
          <w:ilvl w:val="0"/>
          <w:numId w:val="1"/>
        </w:numPr>
        <w:ind w:righ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Check or replace air conditioner filters.</w:t>
      </w:r>
    </w:p>
    <w:p w:rsidR="00300E24" w:rsidRPr="00300E24" w:rsidRDefault="00300E24" w:rsidP="00300E24">
      <w:pPr>
        <w:ind w:left="-360" w:right="-360"/>
        <w:jc w:val="both"/>
        <w:rPr>
          <w:rFonts w:asciiTheme="minorHAnsi" w:hAnsiTheme="minorHAnsi"/>
        </w:rPr>
      </w:pPr>
    </w:p>
    <w:p w:rsidR="002A7F48" w:rsidRDefault="00036C77" w:rsidP="002A7F48">
      <w:pPr>
        <w:numPr>
          <w:ilvl w:val="12"/>
          <w:numId w:val="0"/>
        </w:numPr>
        <w:ind w:left="-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5D329F">
        <w:rPr>
          <w:rFonts w:asciiTheme="minorHAnsi" w:hAnsiTheme="minorHAnsi"/>
        </w:rPr>
        <w:t>nformation, q</w:t>
      </w:r>
      <w:r w:rsidR="00300E24" w:rsidRPr="00300E24">
        <w:rPr>
          <w:rFonts w:asciiTheme="minorHAnsi" w:hAnsiTheme="minorHAnsi"/>
        </w:rPr>
        <w:t>uestions</w:t>
      </w:r>
      <w:r w:rsidR="005D329F">
        <w:rPr>
          <w:rFonts w:asciiTheme="minorHAnsi" w:hAnsiTheme="minorHAnsi"/>
        </w:rPr>
        <w:t>,</w:t>
      </w:r>
      <w:r w:rsidR="00300E24" w:rsidRPr="00300E24">
        <w:rPr>
          <w:rFonts w:asciiTheme="minorHAnsi" w:hAnsiTheme="minorHAnsi"/>
        </w:rPr>
        <w:t xml:space="preserve"> and requests for recommendations concerning specialized outdoor events and school activities</w:t>
      </w:r>
      <w:r>
        <w:rPr>
          <w:rFonts w:asciiTheme="minorHAnsi" w:hAnsiTheme="minorHAnsi"/>
        </w:rPr>
        <w:t>,</w:t>
      </w:r>
      <w:r w:rsidR="00300E24" w:rsidRPr="00300E24">
        <w:rPr>
          <w:rFonts w:asciiTheme="minorHAnsi" w:hAnsiTheme="minorHAnsi"/>
        </w:rPr>
        <w:t xml:space="preserve"> may be directed to the </w:t>
      </w:r>
      <w:r w:rsidR="00E83F8F">
        <w:rPr>
          <w:rFonts w:asciiTheme="minorHAnsi" w:hAnsiTheme="minorHAnsi"/>
        </w:rPr>
        <w:t>Glenn</w:t>
      </w:r>
      <w:r w:rsidR="00300E24" w:rsidRPr="00300E24">
        <w:rPr>
          <w:rFonts w:asciiTheme="minorHAnsi" w:hAnsiTheme="minorHAnsi"/>
        </w:rPr>
        <w:t xml:space="preserve"> County Air </w:t>
      </w:r>
      <w:r w:rsidR="00E83F8F">
        <w:rPr>
          <w:rFonts w:asciiTheme="minorHAnsi" w:hAnsiTheme="minorHAnsi"/>
        </w:rPr>
        <w:t>Pollution</w:t>
      </w:r>
      <w:r w:rsidR="00300E24" w:rsidRPr="00300E24">
        <w:rPr>
          <w:rFonts w:asciiTheme="minorHAnsi" w:hAnsiTheme="minorHAnsi"/>
        </w:rPr>
        <w:t xml:space="preserve"> </w:t>
      </w:r>
      <w:r w:rsidR="00E83F8F">
        <w:rPr>
          <w:rFonts w:asciiTheme="minorHAnsi" w:hAnsiTheme="minorHAnsi"/>
        </w:rPr>
        <w:t>Control</w:t>
      </w:r>
      <w:r w:rsidR="00300E24" w:rsidRPr="00300E24">
        <w:rPr>
          <w:rFonts w:asciiTheme="minorHAnsi" w:hAnsiTheme="minorHAnsi"/>
        </w:rPr>
        <w:t xml:space="preserve"> District at </w:t>
      </w:r>
      <w:r w:rsidR="00C77A13" w:rsidRPr="00C77A13">
        <w:rPr>
          <w:rFonts w:asciiTheme="minorHAnsi" w:hAnsiTheme="minorHAnsi"/>
          <w:b/>
        </w:rPr>
        <w:t>(530)</w:t>
      </w:r>
      <w:r w:rsidR="00C77A13">
        <w:rPr>
          <w:rFonts w:asciiTheme="minorHAnsi" w:hAnsiTheme="minorHAnsi"/>
        </w:rPr>
        <w:t xml:space="preserve"> </w:t>
      </w:r>
      <w:r w:rsidR="00C77A13">
        <w:rPr>
          <w:rFonts w:asciiTheme="minorHAnsi" w:hAnsiTheme="minorHAnsi"/>
          <w:b/>
        </w:rPr>
        <w:t>934-6500</w:t>
      </w:r>
      <w:r w:rsidR="00300E24" w:rsidRPr="00300E24">
        <w:rPr>
          <w:rFonts w:asciiTheme="minorHAnsi" w:hAnsiTheme="minorHAnsi"/>
          <w:b/>
          <w:bCs/>
        </w:rPr>
        <w:t xml:space="preserve"> </w:t>
      </w:r>
      <w:r w:rsidR="00300E24" w:rsidRPr="00300E24">
        <w:rPr>
          <w:rFonts w:asciiTheme="minorHAnsi" w:hAnsiTheme="minorHAnsi"/>
          <w:bCs/>
        </w:rPr>
        <w:t>during regular business hours</w:t>
      </w:r>
      <w:r w:rsidR="00C77A13">
        <w:rPr>
          <w:rFonts w:asciiTheme="minorHAnsi" w:hAnsiTheme="minorHAnsi"/>
        </w:rPr>
        <w:t xml:space="preserve"> or visit </w:t>
      </w:r>
      <w:hyperlink r:id="rId11" w:history="1">
        <w:r w:rsidR="002A7F48" w:rsidRPr="002F456E">
          <w:rPr>
            <w:rStyle w:val="Hyperlink"/>
            <w:rFonts w:asciiTheme="minorHAnsi" w:hAnsiTheme="minorHAnsi"/>
            <w:b/>
          </w:rPr>
          <w:t>www.countyofglenn.net/APCD</w:t>
        </w:r>
      </w:hyperlink>
      <w:r>
        <w:rPr>
          <w:rFonts w:asciiTheme="minorHAnsi" w:hAnsiTheme="minorHAnsi"/>
        </w:rPr>
        <w:t xml:space="preserve"> and please  </w:t>
      </w:r>
      <w:r w:rsidR="005D329F">
        <w:rPr>
          <w:rFonts w:asciiTheme="minorHAnsi" w:hAnsiTheme="minorHAnsi"/>
        </w:rPr>
        <w:t>follow the District on</w:t>
      </w:r>
      <w:r w:rsidR="004E2D71">
        <w:rPr>
          <w:rFonts w:asciiTheme="minorHAnsi" w:hAnsiTheme="minorHAnsi"/>
        </w:rPr>
        <w:t xml:space="preserve"> Twitter </w:t>
      </w:r>
      <w:hyperlink r:id="rId12" w:history="1">
        <w:r w:rsidR="004E2D71" w:rsidRPr="005D329F">
          <w:rPr>
            <w:rStyle w:val="Hyperlink"/>
            <w:rFonts w:asciiTheme="minorHAnsi" w:hAnsiTheme="minorHAnsi"/>
          </w:rPr>
          <w:t>@GlennCountyAir</w:t>
        </w:r>
      </w:hyperlink>
      <w:r w:rsidR="004E2D71">
        <w:rPr>
          <w:rFonts w:asciiTheme="minorHAnsi" w:hAnsiTheme="minorHAnsi"/>
        </w:rPr>
        <w:t>.</w:t>
      </w:r>
      <w:r w:rsidR="009D6697">
        <w:rPr>
          <w:rFonts w:asciiTheme="minorHAnsi" w:hAnsiTheme="minorHAnsi"/>
        </w:rPr>
        <w:t xml:space="preserve"> More information regarding current fire and smoke information is also available at CAL-FIRE’s website </w:t>
      </w:r>
      <w:hyperlink r:id="rId13" w:history="1">
        <w:r w:rsidR="009D6697" w:rsidRPr="00213991">
          <w:rPr>
            <w:rStyle w:val="Hyperlink"/>
            <w:rFonts w:asciiTheme="minorHAnsi" w:hAnsiTheme="minorHAnsi"/>
          </w:rPr>
          <w:t>http://www.fire.ca.gov/</w:t>
        </w:r>
      </w:hyperlink>
      <w:r w:rsidR="009D6697">
        <w:rPr>
          <w:rFonts w:asciiTheme="minorHAnsi" w:hAnsiTheme="minorHAnsi"/>
        </w:rPr>
        <w:t xml:space="preserve"> and the California Smoke Blog </w:t>
      </w:r>
    </w:p>
    <w:p w:rsidR="009D6697" w:rsidRDefault="006C77CF" w:rsidP="002A7F48">
      <w:pPr>
        <w:numPr>
          <w:ilvl w:val="12"/>
          <w:numId w:val="0"/>
        </w:numPr>
        <w:ind w:left="-360" w:right="-360"/>
        <w:jc w:val="both"/>
        <w:rPr>
          <w:rFonts w:asciiTheme="minorHAnsi" w:hAnsiTheme="minorHAnsi"/>
        </w:rPr>
      </w:pPr>
      <w:hyperlink r:id="rId14" w:history="1">
        <w:r w:rsidR="009D6697" w:rsidRPr="00213991">
          <w:rPr>
            <w:rStyle w:val="Hyperlink"/>
            <w:rFonts w:asciiTheme="minorHAnsi" w:hAnsiTheme="minorHAnsi"/>
          </w:rPr>
          <w:t>http://californiasmokeinfo.blogspot.com/</w:t>
        </w:r>
      </w:hyperlink>
    </w:p>
    <w:p w:rsidR="004E2D71" w:rsidRDefault="004E2D71" w:rsidP="002A7F48">
      <w:pPr>
        <w:numPr>
          <w:ilvl w:val="12"/>
          <w:numId w:val="0"/>
        </w:numPr>
        <w:ind w:left="-360" w:right="-360"/>
        <w:jc w:val="both"/>
        <w:rPr>
          <w:rFonts w:asciiTheme="minorHAnsi" w:hAnsiTheme="minorHAnsi"/>
        </w:rPr>
      </w:pPr>
    </w:p>
    <w:p w:rsidR="00F51D70" w:rsidRDefault="00F51D70" w:rsidP="002A7F48">
      <w:pPr>
        <w:numPr>
          <w:ilvl w:val="12"/>
          <w:numId w:val="0"/>
        </w:numPr>
        <w:ind w:left="-360" w:right="-360"/>
        <w:jc w:val="both"/>
        <w:rPr>
          <w:rFonts w:asciiTheme="minorHAnsi" w:hAnsiTheme="minorHAnsi"/>
        </w:rPr>
      </w:pPr>
    </w:p>
    <w:p w:rsidR="00F51D70" w:rsidRDefault="00F51D70" w:rsidP="002A7F48">
      <w:pPr>
        <w:numPr>
          <w:ilvl w:val="12"/>
          <w:numId w:val="0"/>
        </w:numPr>
        <w:ind w:left="-360" w:right="-360"/>
        <w:jc w:val="both"/>
        <w:rPr>
          <w:rFonts w:asciiTheme="minorHAnsi" w:hAnsiTheme="minorHAnsi"/>
        </w:rPr>
      </w:pPr>
    </w:p>
    <w:p w:rsidR="004E2D71" w:rsidRDefault="004E2D71" w:rsidP="002A7F48">
      <w:pPr>
        <w:numPr>
          <w:ilvl w:val="12"/>
          <w:numId w:val="0"/>
        </w:numPr>
        <w:ind w:left="-360" w:right="-360"/>
        <w:jc w:val="both"/>
        <w:rPr>
          <w:rFonts w:asciiTheme="minorHAnsi" w:hAnsiTheme="minorHAnsi"/>
        </w:rPr>
      </w:pPr>
    </w:p>
    <w:p w:rsidR="0009524B" w:rsidRDefault="0009524B" w:rsidP="002A7F48">
      <w:pPr>
        <w:numPr>
          <w:ilvl w:val="12"/>
          <w:numId w:val="0"/>
        </w:numPr>
        <w:ind w:left="-360" w:right="-360"/>
        <w:jc w:val="center"/>
        <w:rPr>
          <w:rFonts w:ascii="Arial" w:hAnsi="Arial" w:cs="Arial"/>
          <w:b/>
          <w:bCs/>
          <w:color w:val="000000"/>
        </w:rPr>
      </w:pPr>
      <w:r w:rsidRPr="00892A64">
        <w:rPr>
          <w:rFonts w:ascii="Arial" w:hAnsi="Arial" w:cs="Arial"/>
          <w:b/>
          <w:bCs/>
          <w:color w:val="000000"/>
        </w:rPr>
        <w:t xml:space="preserve">Air </w:t>
      </w:r>
      <w:r w:rsidR="00E83F8F">
        <w:rPr>
          <w:rFonts w:ascii="Arial" w:hAnsi="Arial" w:cs="Arial"/>
          <w:b/>
          <w:bCs/>
          <w:color w:val="000000"/>
        </w:rPr>
        <w:t>Pollution</w:t>
      </w:r>
      <w:r w:rsidRPr="00892A64">
        <w:rPr>
          <w:rFonts w:ascii="Arial" w:hAnsi="Arial" w:cs="Arial"/>
          <w:b/>
          <w:bCs/>
          <w:color w:val="000000"/>
        </w:rPr>
        <w:t xml:space="preserve"> Index (AQI): Particle Pollution</w:t>
      </w:r>
      <w:r>
        <w:rPr>
          <w:rFonts w:ascii="Arial" w:hAnsi="Arial" w:cs="Arial"/>
          <w:b/>
          <w:bCs/>
          <w:color w:val="000000"/>
        </w:rPr>
        <w:t xml:space="preserve"> and Visibility Chart</w:t>
      </w:r>
    </w:p>
    <w:p w:rsidR="00F51D70" w:rsidRPr="002A7F48" w:rsidRDefault="00F51D70" w:rsidP="002A7F48">
      <w:pPr>
        <w:numPr>
          <w:ilvl w:val="12"/>
          <w:numId w:val="0"/>
        </w:numPr>
        <w:ind w:left="-360" w:right="-360"/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47"/>
        <w:gridCol w:w="1767"/>
        <w:gridCol w:w="2546"/>
        <w:gridCol w:w="2550"/>
      </w:tblGrid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Index</w:t>
            </w:r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Values</w:t>
            </w:r>
          </w:p>
        </w:tc>
        <w:tc>
          <w:tcPr>
            <w:tcW w:w="915" w:type="pct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Levels</w:t>
            </w:r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of Health</w:t>
            </w:r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Concern</w:t>
            </w:r>
          </w:p>
        </w:tc>
        <w:tc>
          <w:tcPr>
            <w:tcW w:w="1326" w:type="pct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Cautionary Statements</w:t>
            </w:r>
          </w:p>
        </w:tc>
        <w:tc>
          <w:tcPr>
            <w:tcW w:w="1320" w:type="pct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86FCC">
                  <w:rPr>
                    <w:rFonts w:ascii="Arial Narrow" w:hAnsi="Arial Narrow" w:cs="Arial"/>
                    <w:b/>
                    <w:bCs/>
                    <w:color w:val="000000"/>
                    <w:sz w:val="22"/>
                    <w:szCs w:val="22"/>
                  </w:rPr>
                  <w:t>Visibility</w:t>
                </w:r>
              </w:smartTag>
              <w:r w:rsidRPr="00F86FCC">
                <w:rPr>
                  <w:rFonts w:ascii="Arial Narrow" w:hAnsi="Arial Narrow" w:cs="Arial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86FCC">
                  <w:rPr>
                    <w:rFonts w:ascii="Arial Narrow" w:hAnsi="Arial Narrow" w:cs="Arial"/>
                    <w:b/>
                    <w:bCs/>
                    <w:color w:val="000000"/>
                    <w:sz w:val="22"/>
                    <w:szCs w:val="22"/>
                  </w:rPr>
                  <w:t>Range</w:t>
                </w:r>
              </w:smartTag>
            </w:smartTag>
            <w:r w:rsidRPr="00F86FC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in Miles</w:t>
            </w: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shd w:val="clear" w:color="auto" w:fill="00E4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0-50</w:t>
            </w:r>
          </w:p>
        </w:tc>
        <w:tc>
          <w:tcPr>
            <w:tcW w:w="915" w:type="pct"/>
            <w:shd w:val="clear" w:color="auto" w:fill="00E4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Good</w:t>
            </w:r>
          </w:p>
        </w:tc>
        <w:tc>
          <w:tcPr>
            <w:tcW w:w="1326" w:type="pct"/>
            <w:shd w:val="clear" w:color="auto" w:fill="00E400"/>
            <w:vAlign w:val="center"/>
          </w:tcPr>
          <w:p w:rsidR="0009524B" w:rsidRPr="00F86FCC" w:rsidRDefault="0009524B" w:rsidP="00390450">
            <w:pPr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None</w:t>
            </w:r>
          </w:p>
        </w:tc>
        <w:tc>
          <w:tcPr>
            <w:tcW w:w="1320" w:type="pct"/>
            <w:shd w:val="clear" w:color="auto" w:fill="00E400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/>
              </w:rPr>
              <w:t>10+ miles</w:t>
            </w:r>
          </w:p>
        </w:tc>
      </w:tr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shd w:val="clear" w:color="auto" w:fill="FFFF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51-100*</w:t>
            </w:r>
          </w:p>
        </w:tc>
        <w:tc>
          <w:tcPr>
            <w:tcW w:w="915" w:type="pct"/>
            <w:shd w:val="clear" w:color="auto" w:fill="FFFF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Moderate</w:t>
            </w:r>
          </w:p>
        </w:tc>
        <w:tc>
          <w:tcPr>
            <w:tcW w:w="1326" w:type="pct"/>
            <w:shd w:val="clear" w:color="auto" w:fill="FFFF00"/>
            <w:vAlign w:val="center"/>
          </w:tcPr>
          <w:p w:rsidR="0009524B" w:rsidRPr="00F86FCC" w:rsidRDefault="0009524B" w:rsidP="00390450">
            <w:pPr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 xml:space="preserve">Unusually sensitive people should consider reducing prolonged or heavy exertion. </w:t>
            </w:r>
          </w:p>
        </w:tc>
        <w:tc>
          <w:tcPr>
            <w:tcW w:w="1320" w:type="pct"/>
            <w:shd w:val="clear" w:color="auto" w:fill="FFFF00"/>
          </w:tcPr>
          <w:p w:rsidR="0009524B" w:rsidRPr="00F86FCC" w:rsidRDefault="0009524B" w:rsidP="00390450">
            <w:pPr>
              <w:jc w:val="center"/>
              <w:rPr>
                <w:rFonts w:ascii="Arial Narrow" w:hAnsi="Arial Narrow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/>
              </w:rPr>
              <w:t>5 – 10 miles</w:t>
            </w:r>
          </w:p>
        </w:tc>
      </w:tr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shd w:val="clear" w:color="auto" w:fill="FF73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101-150</w:t>
            </w:r>
          </w:p>
        </w:tc>
        <w:tc>
          <w:tcPr>
            <w:tcW w:w="915" w:type="pct"/>
            <w:shd w:val="clear" w:color="auto" w:fill="FF73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>Unhealthy for Sensitive Groups</w:t>
            </w:r>
          </w:p>
        </w:tc>
        <w:tc>
          <w:tcPr>
            <w:tcW w:w="1326" w:type="pct"/>
            <w:shd w:val="clear" w:color="auto" w:fill="FF7300"/>
            <w:vAlign w:val="center"/>
          </w:tcPr>
          <w:p w:rsidR="0009524B" w:rsidRPr="00F86FCC" w:rsidRDefault="0009524B" w:rsidP="00390450">
            <w:pPr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 w:cs="Arial"/>
                <w:color w:val="000000"/>
              </w:rPr>
              <w:t xml:space="preserve">People with heart or lung disease, older adults, and children should reduce prolonged or heavy exertion. </w:t>
            </w:r>
          </w:p>
        </w:tc>
        <w:tc>
          <w:tcPr>
            <w:tcW w:w="1320" w:type="pct"/>
            <w:shd w:val="clear" w:color="auto" w:fill="FF7300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6FCC">
              <w:rPr>
                <w:rFonts w:ascii="Arial Narrow" w:hAnsi="Arial Narrow"/>
              </w:rPr>
              <w:t>3 – 5 miles</w:t>
            </w:r>
          </w:p>
        </w:tc>
      </w:tr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shd w:val="clear" w:color="auto" w:fill="FF00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>151-200</w:t>
            </w:r>
          </w:p>
        </w:tc>
        <w:tc>
          <w:tcPr>
            <w:tcW w:w="915" w:type="pct"/>
            <w:shd w:val="clear" w:color="auto" w:fill="FF0000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>Unhealthy</w:t>
            </w:r>
          </w:p>
        </w:tc>
        <w:tc>
          <w:tcPr>
            <w:tcW w:w="1326" w:type="pct"/>
            <w:shd w:val="clear" w:color="auto" w:fill="FF0000"/>
            <w:vAlign w:val="center"/>
          </w:tcPr>
          <w:p w:rsidR="0009524B" w:rsidRPr="00F86FCC" w:rsidRDefault="0009524B" w:rsidP="00390450">
            <w:pPr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 xml:space="preserve">People with heart or lung disease, older adults, and children should avoid prolonged or heavy exertion. Everyone else should reduce prolonged or heavy exertion. </w:t>
            </w:r>
          </w:p>
        </w:tc>
        <w:tc>
          <w:tcPr>
            <w:tcW w:w="1320" w:type="pct"/>
            <w:shd w:val="clear" w:color="auto" w:fill="FF0000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/>
              </w:rPr>
              <w:t>1.5 – 2.5 miles</w:t>
            </w:r>
          </w:p>
        </w:tc>
      </w:tr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shd w:val="clear" w:color="auto" w:fill="990046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>201-300</w:t>
            </w:r>
          </w:p>
        </w:tc>
        <w:tc>
          <w:tcPr>
            <w:tcW w:w="915" w:type="pct"/>
            <w:shd w:val="clear" w:color="auto" w:fill="990046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>Very Unhealthy</w:t>
            </w:r>
          </w:p>
        </w:tc>
        <w:tc>
          <w:tcPr>
            <w:tcW w:w="1326" w:type="pct"/>
            <w:shd w:val="clear" w:color="auto" w:fill="990046"/>
            <w:vAlign w:val="center"/>
          </w:tcPr>
          <w:p w:rsidR="0009524B" w:rsidRPr="00F86FCC" w:rsidRDefault="0009524B" w:rsidP="00390450">
            <w:pPr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 xml:space="preserve">People with heart or lung disease, older adults, and children should avoid all physical activity outdoors. Everyone else should avoid prolonged or heavy exertion. </w:t>
            </w:r>
          </w:p>
        </w:tc>
        <w:tc>
          <w:tcPr>
            <w:tcW w:w="1320" w:type="pct"/>
            <w:shd w:val="clear" w:color="auto" w:fill="990046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/>
              </w:rPr>
              <w:t>1 – 1.25 miles</w:t>
            </w:r>
          </w:p>
        </w:tc>
      </w:tr>
      <w:tr w:rsidR="0009524B" w:rsidRPr="00AF240A" w:rsidTr="00390450">
        <w:trPr>
          <w:tblCellSpacing w:w="15" w:type="dxa"/>
          <w:jc w:val="center"/>
        </w:trPr>
        <w:tc>
          <w:tcPr>
            <w:tcW w:w="1371" w:type="pct"/>
            <w:shd w:val="clear" w:color="auto" w:fill="7E0023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>301-500</w:t>
            </w:r>
          </w:p>
        </w:tc>
        <w:tc>
          <w:tcPr>
            <w:tcW w:w="915" w:type="pct"/>
            <w:shd w:val="clear" w:color="auto" w:fill="7E0023"/>
            <w:vAlign w:val="center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>Hazardous</w:t>
            </w:r>
          </w:p>
        </w:tc>
        <w:tc>
          <w:tcPr>
            <w:tcW w:w="1326" w:type="pct"/>
            <w:shd w:val="clear" w:color="auto" w:fill="7E0023"/>
            <w:vAlign w:val="center"/>
          </w:tcPr>
          <w:p w:rsidR="0009524B" w:rsidRPr="00F86FCC" w:rsidRDefault="0009524B" w:rsidP="00390450">
            <w:pPr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 w:cs="Arial"/>
                <w:color w:val="FFFFFF"/>
              </w:rPr>
              <w:t xml:space="preserve">People with heart or lung disease, older adults, and children should remain indoors and keep activity levels low. Everyone else should avoid all physical activity outdoors. </w:t>
            </w:r>
          </w:p>
        </w:tc>
        <w:tc>
          <w:tcPr>
            <w:tcW w:w="1320" w:type="pct"/>
            <w:shd w:val="clear" w:color="auto" w:fill="7E0023"/>
          </w:tcPr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</w:p>
          <w:p w:rsidR="0009524B" w:rsidRPr="00F86FCC" w:rsidRDefault="0009524B" w:rsidP="00390450">
            <w:pPr>
              <w:jc w:val="center"/>
              <w:rPr>
                <w:rFonts w:ascii="Arial Narrow" w:hAnsi="Arial Narrow" w:cs="Arial"/>
                <w:color w:val="FFFFFF"/>
              </w:rPr>
            </w:pPr>
            <w:r w:rsidRPr="00F86FCC">
              <w:rPr>
                <w:rFonts w:ascii="Arial Narrow" w:hAnsi="Arial Narrow"/>
              </w:rPr>
              <w:t>&lt; 0.75 miles</w:t>
            </w:r>
          </w:p>
        </w:tc>
      </w:tr>
    </w:tbl>
    <w:p w:rsidR="0009524B" w:rsidRDefault="0009524B" w:rsidP="00F2595E">
      <w:pPr>
        <w:rPr>
          <w:rFonts w:ascii="Arial" w:hAnsi="Arial" w:cs="Arial"/>
          <w:b/>
          <w:bCs/>
          <w:color w:val="000000"/>
        </w:rPr>
      </w:pPr>
    </w:p>
    <w:sectPr w:rsidR="0009524B" w:rsidSect="00F51D70">
      <w:footerReference w:type="default" r:id="rId15"/>
      <w:pgSz w:w="12240" w:h="15840"/>
      <w:pgMar w:top="630" w:right="1440" w:bottom="630" w:left="1440" w:header="288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71" w:rsidRDefault="004E2D71" w:rsidP="00D33565">
      <w:r>
        <w:separator/>
      </w:r>
    </w:p>
  </w:endnote>
  <w:endnote w:type="continuationSeparator" w:id="0">
    <w:p w:rsidR="004E2D71" w:rsidRDefault="004E2D71" w:rsidP="00D3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71" w:rsidRPr="00D33565" w:rsidRDefault="004E2D71" w:rsidP="00D33565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D33565">
      <w:rPr>
        <w:rFonts w:asciiTheme="minorHAnsi" w:hAnsiTheme="minorHAnsi" w:cstheme="minorHAnsi"/>
        <w:sz w:val="22"/>
        <w:szCs w:val="22"/>
      </w:rPr>
      <w:fldChar w:fldCharType="begin"/>
    </w:r>
    <w:r w:rsidRPr="00D33565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D33565">
      <w:rPr>
        <w:rFonts w:asciiTheme="minorHAnsi" w:hAnsiTheme="minorHAnsi" w:cstheme="minorHAnsi"/>
        <w:sz w:val="22"/>
        <w:szCs w:val="22"/>
      </w:rPr>
      <w:fldChar w:fldCharType="separate"/>
    </w:r>
    <w:r w:rsidR="006C77CF">
      <w:rPr>
        <w:rFonts w:asciiTheme="minorHAnsi" w:hAnsiTheme="minorHAnsi" w:cstheme="minorHAnsi"/>
        <w:noProof/>
        <w:sz w:val="22"/>
        <w:szCs w:val="22"/>
      </w:rPr>
      <w:t>1</w:t>
    </w:r>
    <w:r w:rsidRPr="00D33565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71" w:rsidRDefault="004E2D71" w:rsidP="00D33565">
      <w:r>
        <w:separator/>
      </w:r>
    </w:p>
  </w:footnote>
  <w:footnote w:type="continuationSeparator" w:id="0">
    <w:p w:rsidR="004E2D71" w:rsidRDefault="004E2D71" w:rsidP="00D3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246978"/>
    <w:lvl w:ilvl="0">
      <w:numFmt w:val="decimal"/>
      <w:lvlText w:val="*"/>
      <w:lvlJc w:val="left"/>
    </w:lvl>
  </w:abstractNum>
  <w:abstractNum w:abstractNumId="1">
    <w:nsid w:val="26A542F5"/>
    <w:multiLevelType w:val="singleLevel"/>
    <w:tmpl w:val="3E246978"/>
    <w:lvl w:ilvl="0">
      <w:numFmt w:val="decimal"/>
      <w:lvlText w:val="*"/>
      <w:lvlJc w:val="left"/>
    </w:lvl>
  </w:abstractNum>
  <w:abstractNum w:abstractNumId="2">
    <w:nsid w:val="765E5785"/>
    <w:multiLevelType w:val="hybridMultilevel"/>
    <w:tmpl w:val="B00C45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89"/>
    <w:rsid w:val="0003242B"/>
    <w:rsid w:val="00036C77"/>
    <w:rsid w:val="00040655"/>
    <w:rsid w:val="00066BFA"/>
    <w:rsid w:val="0009524B"/>
    <w:rsid w:val="000957B0"/>
    <w:rsid w:val="000B526D"/>
    <w:rsid w:val="000F60CC"/>
    <w:rsid w:val="001663A8"/>
    <w:rsid w:val="002007A1"/>
    <w:rsid w:val="002A5A89"/>
    <w:rsid w:val="002A7F48"/>
    <w:rsid w:val="002B09C4"/>
    <w:rsid w:val="002B20ED"/>
    <w:rsid w:val="002B5B2A"/>
    <w:rsid w:val="00300E24"/>
    <w:rsid w:val="00337840"/>
    <w:rsid w:val="00390450"/>
    <w:rsid w:val="003B2A00"/>
    <w:rsid w:val="003F3E22"/>
    <w:rsid w:val="003F5433"/>
    <w:rsid w:val="00400AB8"/>
    <w:rsid w:val="00435CC9"/>
    <w:rsid w:val="00454861"/>
    <w:rsid w:val="00456104"/>
    <w:rsid w:val="0047054A"/>
    <w:rsid w:val="004A0591"/>
    <w:rsid w:val="004A2999"/>
    <w:rsid w:val="004A6A59"/>
    <w:rsid w:val="004E2D71"/>
    <w:rsid w:val="004F724D"/>
    <w:rsid w:val="005809E6"/>
    <w:rsid w:val="0058248E"/>
    <w:rsid w:val="005B60C2"/>
    <w:rsid w:val="005D329F"/>
    <w:rsid w:val="006369BC"/>
    <w:rsid w:val="00657584"/>
    <w:rsid w:val="00660FF2"/>
    <w:rsid w:val="006B1A48"/>
    <w:rsid w:val="006C77CF"/>
    <w:rsid w:val="006F55DB"/>
    <w:rsid w:val="007069B1"/>
    <w:rsid w:val="007176E4"/>
    <w:rsid w:val="00736059"/>
    <w:rsid w:val="007575EA"/>
    <w:rsid w:val="007B1185"/>
    <w:rsid w:val="007C32F6"/>
    <w:rsid w:val="007F2C42"/>
    <w:rsid w:val="00903F2F"/>
    <w:rsid w:val="00905E46"/>
    <w:rsid w:val="00907E03"/>
    <w:rsid w:val="009578C0"/>
    <w:rsid w:val="00967664"/>
    <w:rsid w:val="0099630E"/>
    <w:rsid w:val="009978A4"/>
    <w:rsid w:val="009A26DC"/>
    <w:rsid w:val="009D6697"/>
    <w:rsid w:val="00A17937"/>
    <w:rsid w:val="00A31455"/>
    <w:rsid w:val="00A56AB3"/>
    <w:rsid w:val="00A67C43"/>
    <w:rsid w:val="00A8119D"/>
    <w:rsid w:val="00A95458"/>
    <w:rsid w:val="00AB1EA3"/>
    <w:rsid w:val="00AF6333"/>
    <w:rsid w:val="00B33A59"/>
    <w:rsid w:val="00B51E75"/>
    <w:rsid w:val="00B712B4"/>
    <w:rsid w:val="00B95F62"/>
    <w:rsid w:val="00BA2BA7"/>
    <w:rsid w:val="00BC742E"/>
    <w:rsid w:val="00BD021D"/>
    <w:rsid w:val="00BF5A66"/>
    <w:rsid w:val="00C22E39"/>
    <w:rsid w:val="00C77A13"/>
    <w:rsid w:val="00CC39EF"/>
    <w:rsid w:val="00CD1C7B"/>
    <w:rsid w:val="00CD7C72"/>
    <w:rsid w:val="00CE472D"/>
    <w:rsid w:val="00CF018A"/>
    <w:rsid w:val="00CF4BF7"/>
    <w:rsid w:val="00D0616B"/>
    <w:rsid w:val="00D1344F"/>
    <w:rsid w:val="00D15338"/>
    <w:rsid w:val="00D27363"/>
    <w:rsid w:val="00D33565"/>
    <w:rsid w:val="00D52565"/>
    <w:rsid w:val="00D81EB5"/>
    <w:rsid w:val="00D902FF"/>
    <w:rsid w:val="00DD4F65"/>
    <w:rsid w:val="00DD5974"/>
    <w:rsid w:val="00DF22DA"/>
    <w:rsid w:val="00DF44F3"/>
    <w:rsid w:val="00E07942"/>
    <w:rsid w:val="00E40695"/>
    <w:rsid w:val="00E43F8D"/>
    <w:rsid w:val="00E83F8F"/>
    <w:rsid w:val="00E85833"/>
    <w:rsid w:val="00E86B05"/>
    <w:rsid w:val="00ED7A1D"/>
    <w:rsid w:val="00EE49D5"/>
    <w:rsid w:val="00F2595E"/>
    <w:rsid w:val="00F51D70"/>
    <w:rsid w:val="00F551CD"/>
    <w:rsid w:val="00F87B76"/>
    <w:rsid w:val="00FA1571"/>
    <w:rsid w:val="00FB0552"/>
    <w:rsid w:val="00FB0750"/>
    <w:rsid w:val="00FB278F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2A"/>
    <w:rPr>
      <w:sz w:val="24"/>
      <w:szCs w:val="24"/>
    </w:rPr>
  </w:style>
  <w:style w:type="paragraph" w:styleId="Heading1">
    <w:name w:val="heading 1"/>
    <w:basedOn w:val="Normal"/>
    <w:next w:val="Normal"/>
    <w:qFormat/>
    <w:rsid w:val="002B5B2A"/>
    <w:pPr>
      <w:keepNext/>
      <w:tabs>
        <w:tab w:val="left" w:pos="4320"/>
      </w:tabs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B5B2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B2A"/>
    <w:pPr>
      <w:jc w:val="both"/>
    </w:pPr>
  </w:style>
  <w:style w:type="character" w:styleId="Hyperlink">
    <w:name w:val="Hyperlink"/>
    <w:basedOn w:val="DefaultParagraphFont"/>
    <w:rsid w:val="002A5A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F6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F2C42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D3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565"/>
    <w:rPr>
      <w:sz w:val="24"/>
      <w:szCs w:val="24"/>
    </w:rPr>
  </w:style>
  <w:style w:type="paragraph" w:styleId="Footer">
    <w:name w:val="footer"/>
    <w:basedOn w:val="Normal"/>
    <w:link w:val="FooterChar"/>
    <w:rsid w:val="00D3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2A"/>
    <w:rPr>
      <w:sz w:val="24"/>
      <w:szCs w:val="24"/>
    </w:rPr>
  </w:style>
  <w:style w:type="paragraph" w:styleId="Heading1">
    <w:name w:val="heading 1"/>
    <w:basedOn w:val="Normal"/>
    <w:next w:val="Normal"/>
    <w:qFormat/>
    <w:rsid w:val="002B5B2A"/>
    <w:pPr>
      <w:keepNext/>
      <w:tabs>
        <w:tab w:val="left" w:pos="4320"/>
      </w:tabs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B5B2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5B2A"/>
    <w:pPr>
      <w:jc w:val="both"/>
    </w:pPr>
  </w:style>
  <w:style w:type="character" w:styleId="Hyperlink">
    <w:name w:val="Hyperlink"/>
    <w:basedOn w:val="DefaultParagraphFont"/>
    <w:rsid w:val="002A5A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F6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F2C42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D3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565"/>
    <w:rPr>
      <w:sz w:val="24"/>
      <w:szCs w:val="24"/>
    </w:rPr>
  </w:style>
  <w:style w:type="paragraph" w:styleId="Footer">
    <w:name w:val="footer"/>
    <w:basedOn w:val="Normal"/>
    <w:link w:val="FooterChar"/>
    <w:rsid w:val="00D3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re.ca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GlennCountyAir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ntyofglenn.net/APC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aliforniasmokeinfo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D83B-6317-4D23-9C73-2241F22D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B87C7400</Template>
  <TotalTime>0</TotalTime>
  <Pages>2</Pages>
  <Words>487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Air Quality Management Dist.</Company>
  <LinksUpToDate>false</LinksUpToDate>
  <CharactersWithSpaces>3636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http://www.bcaqmd.org/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Air Quality Management Dist.</dc:creator>
  <cp:lastModifiedBy>Glenn County</cp:lastModifiedBy>
  <cp:revision>2</cp:revision>
  <cp:lastPrinted>2014-09-22T17:26:00Z</cp:lastPrinted>
  <dcterms:created xsi:type="dcterms:W3CDTF">2017-08-31T21:43:00Z</dcterms:created>
  <dcterms:modified xsi:type="dcterms:W3CDTF">2017-08-31T21:43:00Z</dcterms:modified>
</cp:coreProperties>
</file>