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C5" w:rsidRDefault="00005BC5" w:rsidP="00005BC5">
      <w:pPr>
        <w:pStyle w:val="xmsonormal"/>
      </w:pPr>
      <w:r>
        <w:t>Attn: CCW Coordinator</w:t>
      </w:r>
    </w:p>
    <w:p w:rsidR="00005BC5" w:rsidRDefault="00005BC5" w:rsidP="00005BC5">
      <w:pPr>
        <w:pStyle w:val="xmsonormal"/>
      </w:pPr>
      <w:r>
        <w:t> </w:t>
      </w:r>
    </w:p>
    <w:p w:rsidR="00005BC5" w:rsidRDefault="00005BC5" w:rsidP="00005BC5">
      <w:pPr>
        <w:pStyle w:val="xmsonormal"/>
      </w:pPr>
      <w:r>
        <w:t>SB 2 (2023, Carry Concealed Weapon Licensing) was signed into law on September 26, 2023 with an effective date of January 1, 2024. Among other things, the law prohibits Carry Concealed Weapon (CCW) license holders from carrying firearms in certain enumerated spaces. Cal. Penal Code § 26230. Pursuant to an order issued on January 6, 2024 in two federal cases that challenged certain CCW license holder restrictions (</w:t>
      </w:r>
      <w:r>
        <w:rPr>
          <w:i/>
          <w:iCs/>
        </w:rPr>
        <w:t xml:space="preserve">May v. </w:t>
      </w:r>
      <w:proofErr w:type="spellStart"/>
      <w:r>
        <w:rPr>
          <w:i/>
          <w:iCs/>
        </w:rPr>
        <w:t>Bonta</w:t>
      </w:r>
      <w:proofErr w:type="spellEnd"/>
      <w:r>
        <w:t>, No. 8:23-cv-01696-CJC-ADSx and </w:t>
      </w:r>
      <w:proofErr w:type="spellStart"/>
      <w:r>
        <w:rPr>
          <w:i/>
          <w:iCs/>
        </w:rPr>
        <w:t>Carralero</w:t>
      </w:r>
      <w:proofErr w:type="spellEnd"/>
      <w:r>
        <w:rPr>
          <w:i/>
          <w:iCs/>
        </w:rPr>
        <w:t xml:space="preserve"> v. </w:t>
      </w:r>
      <w:proofErr w:type="spellStart"/>
      <w:r>
        <w:rPr>
          <w:i/>
          <w:iCs/>
        </w:rPr>
        <w:t>Bonta</w:t>
      </w:r>
      <w:proofErr w:type="spellEnd"/>
      <w:r>
        <w:rPr>
          <w:i/>
          <w:iCs/>
        </w:rPr>
        <w:t>, </w:t>
      </w:r>
      <w:r>
        <w:t>No. 8:23-cv-01798-CJC-ADSx), CCW license holders are now </w:t>
      </w:r>
      <w:r>
        <w:rPr>
          <w:b/>
          <w:bCs/>
        </w:rPr>
        <w:t>allowed</w:t>
      </w:r>
      <w:r>
        <w:t> to carry firearms in the following public places, notwithstanding the provisions of SB 2 (please note that any privately owned commercial establishment that is open to the public or any places of worship may still decline to allow any CCW license holder to carry firearms on their premises):</w:t>
      </w:r>
    </w:p>
    <w:p w:rsidR="00005BC5" w:rsidRDefault="00005BC5" w:rsidP="00005BC5">
      <w:pPr>
        <w:pStyle w:val="xmsonormal"/>
      </w:pPr>
      <w:r>
        <w:t> </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Health care facilities (Cal. Penal Code § 26230(a)(7))</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Public transit (Cal. Penal Code § 26230(a)(8))</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Establishments where intoxicating liquor is sold for consumption on the premises (Cal. Penal Code § 26230(a)(9))</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Permitted public gatherings and special events (Cal. Penal Code § 26230(a)(10))</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Playgrounds and public or private youth centers (Cal. Penal Code § 26230(a)(11))</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Parks and athletic facilities (Cal. Penal Code § 26230(a)(12))</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Department of Parks and Recreation and Department of Fish and Wildlife property (Cal. Penal Code § 26230(a)(13))</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Casinos and gambling establishments (Cal. Penal Code § 26230(a)(15))</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Stadiums and arenas (Cal. Penal Code § 26230(a)(16))</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Public libraries (Cal. Penal Code § 26230(a)(17))</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Amusement parks (Cal. Penal Code § 26230(a)(19))</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Zoos and museums (Cal. Penal Code § 26230(a)(20))</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Places of worship (Cal. Penal Code § 26230(a)(22))</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Financial institutions (Cal. Penal Code § 26230(a)(23))</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Any other privately owned commercial establishment that is open to the public (Cal. Penal Code § 26230(a)(26))</w:t>
      </w:r>
    </w:p>
    <w:p w:rsidR="00005BC5" w:rsidRDefault="00005BC5" w:rsidP="00005BC5">
      <w:pPr>
        <w:numPr>
          <w:ilvl w:val="0"/>
          <w:numId w:val="1"/>
        </w:numPr>
        <w:rPr>
          <w:rFonts w:ascii="Calibri" w:eastAsia="Times New Roman" w:hAnsi="Calibri" w:cs="Calibri"/>
          <w:sz w:val="22"/>
          <w:szCs w:val="22"/>
        </w:rPr>
      </w:pPr>
      <w:r>
        <w:rPr>
          <w:rFonts w:ascii="Calibri" w:eastAsia="Times New Roman" w:hAnsi="Calibri" w:cs="Calibri"/>
          <w:sz w:val="22"/>
          <w:szCs w:val="22"/>
        </w:rPr>
        <w:t>Parking areas adjacent to any sensitive places</w:t>
      </w:r>
    </w:p>
    <w:p w:rsidR="00005BC5" w:rsidRDefault="00005BC5" w:rsidP="00005BC5">
      <w:pPr>
        <w:pStyle w:val="xmsonormal"/>
      </w:pPr>
      <w:r>
        <w:t> </w:t>
      </w:r>
    </w:p>
    <w:p w:rsidR="00005BC5" w:rsidRDefault="00005BC5" w:rsidP="00005BC5">
      <w:pPr>
        <w:pStyle w:val="xmsonormal"/>
      </w:pPr>
      <w:r>
        <w:t>Please be advised that all of the other provisions of SB 2 (e.g., requirements relating to being “not a disqualified person,” age, training, and gun storage), and other provisions of California law restricting carriage of firearms in public places </w:t>
      </w:r>
      <w:r>
        <w:rPr>
          <w:b/>
          <w:bCs/>
        </w:rPr>
        <w:t>remain in effect</w:t>
      </w:r>
      <w:r>
        <w:t>. </w:t>
      </w:r>
    </w:p>
    <w:p w:rsidR="00005BC5" w:rsidRDefault="00005BC5" w:rsidP="00005BC5">
      <w:pPr>
        <w:pStyle w:val="xmsonormal"/>
      </w:pPr>
      <w:r>
        <w:t> </w:t>
      </w:r>
    </w:p>
    <w:p w:rsidR="00005BC5" w:rsidRDefault="00005BC5" w:rsidP="00005BC5">
      <w:pPr>
        <w:pStyle w:val="xmsonormal"/>
      </w:pPr>
      <w:r>
        <w:t> </w:t>
      </w:r>
      <w:bookmarkStart w:id="0" w:name="_GoBack"/>
      <w:bookmarkEnd w:id="0"/>
    </w:p>
    <w:p w:rsidR="00005BC5" w:rsidRDefault="00005BC5" w:rsidP="00005BC5">
      <w:pPr>
        <w:pStyle w:val="xmsonormal"/>
      </w:pPr>
      <w:r>
        <w:rPr>
          <w:i/>
          <w:iCs/>
        </w:rPr>
        <w:t>CCW Notification Team</w:t>
      </w:r>
    </w:p>
    <w:p w:rsidR="00005BC5" w:rsidRDefault="00005BC5" w:rsidP="00005BC5">
      <w:pPr>
        <w:pStyle w:val="xmsonormal"/>
      </w:pPr>
      <w:r>
        <w:rPr>
          <w:i/>
          <w:iCs/>
        </w:rPr>
        <w:t>California Department of Justice</w:t>
      </w:r>
    </w:p>
    <w:p w:rsidR="00005BC5" w:rsidRDefault="00005BC5" w:rsidP="00005BC5">
      <w:pPr>
        <w:pStyle w:val="xmsonormal"/>
      </w:pPr>
      <w:r>
        <w:rPr>
          <w:i/>
          <w:iCs/>
        </w:rPr>
        <w:t>Bureau of Firearms</w:t>
      </w:r>
    </w:p>
    <w:p w:rsidR="00005BC5" w:rsidRDefault="00005BC5" w:rsidP="00005BC5">
      <w:pPr>
        <w:pStyle w:val="xmsonormal"/>
      </w:pPr>
    </w:p>
    <w:p w:rsidR="00005BC5" w:rsidRDefault="00005BC5" w:rsidP="00005BC5">
      <w:pPr>
        <w:pStyle w:val="xmsonormal"/>
      </w:pPr>
      <w:r>
        <w:t> </w:t>
      </w:r>
    </w:p>
    <w:p w:rsidR="00BE6109" w:rsidRDefault="00005BC5"/>
    <w:sectPr w:rsidR="00BE6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F6D26"/>
    <w:multiLevelType w:val="multilevel"/>
    <w:tmpl w:val="382AEB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C5"/>
    <w:rsid w:val="00005BC5"/>
    <w:rsid w:val="005901DE"/>
    <w:rsid w:val="00B8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5F491-601E-46E9-8431-6B0B91F1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B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5BC5"/>
    <w:rPr>
      <w:color w:val="0563C1"/>
      <w:u w:val="single"/>
    </w:rPr>
  </w:style>
  <w:style w:type="paragraph" w:customStyle="1" w:styleId="xmsonormal">
    <w:name w:val="x_msonormal"/>
    <w:basedOn w:val="Normal"/>
    <w:rsid w:val="00005BC5"/>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Shianne Osa</dc:creator>
  <cp:keywords/>
  <dc:description/>
  <cp:lastModifiedBy>Shianne Osa</cp:lastModifiedBy>
  <cp:revision>1</cp:revision>
  <dcterms:created xsi:type="dcterms:W3CDTF">2024-01-30T20:25:00Z</dcterms:created>
  <dcterms:modified xsi:type="dcterms:W3CDTF">2024-01-30T20:26:00Z</dcterms:modified>
</cp:coreProperties>
</file>