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383" w:rsidRPr="004C0383" w:rsidRDefault="004C0383" w:rsidP="004C0383">
      <w:pPr>
        <w:jc w:val="center"/>
        <w:rPr>
          <w:b/>
          <w:sz w:val="28"/>
          <w:szCs w:val="28"/>
        </w:rPr>
      </w:pPr>
      <w:r w:rsidRPr="004C0383">
        <w:rPr>
          <w:b/>
          <w:sz w:val="28"/>
          <w:szCs w:val="28"/>
        </w:rPr>
        <w:t>COVID-19 Vaccine Phase 1B Eligible Workforce Sectors</w:t>
      </w:r>
    </w:p>
    <w:p w:rsidR="004C0383" w:rsidRDefault="004C0383">
      <w:pPr>
        <w:rPr>
          <w:b/>
          <w:sz w:val="28"/>
          <w:szCs w:val="28"/>
          <w:u w:val="single"/>
        </w:rPr>
      </w:pPr>
      <w:r w:rsidRPr="004C0383">
        <w:rPr>
          <w:b/>
          <w:sz w:val="28"/>
          <w:szCs w:val="28"/>
          <w:u w:val="single"/>
        </w:rPr>
        <w:t xml:space="preserve">Food and Agriculture </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supporting groceries, pharmacies, convenience stores, and other retail that sells food or beverage products, and animal/pet food, retail customer support service, information technology support staff, for online orders, pickup/takeout or delivery.</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supporting restaurant carry-out and quick serve food operations, including food preparation, carry-out and delivery food employees.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Food manufacturer employees and their supplier employees to include those employed in food ingredient production and processing facilities; aquaculture and seafood harvesting facilities; livestock, poultry, seafood slaughter facilities; pet and animal feed processing facilities; human food facilities producing by-products for animal food; beverage production facilities; and the production of food packaging, including recycling operations and processing.</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Farmers, farm and ranch workers, and agribusiness support services to include those employed in auction and sales; grain and oilseed handling, storage, processing and distribution; animal food, feed, and ingredient production, packaging, and distribution; manufacturing, packaging, and distribution of veterinary drugs; truck delivery and transport.</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Farmers, farm and ranch workers, support service workers and their supplier employees producing food supply domestically and for export to include those engaged in raising, cultivating, harvesting, packing, storing, or delivering to storage or to market or to a carrier for transportation to market any agricultural or horticultural commodity for human consumption; those engaged in producing and harvesting field crops; cannabis growers; agricultural and commodity inspection; fuel ethanol facilities; storage facilities; biodiesel and renewable diesel facilities; and other agricultural inputs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 xml:space="preserve">Employees and firms supporting food, feed, and beverage distribution and ingredients used in these products including warehouse workers, vendor-managed inventory controllers, and </w:t>
      </w:r>
      <w:proofErr w:type="spellStart"/>
      <w:r w:rsidRPr="004C0383">
        <w:rPr>
          <w:rFonts w:ascii="Arial" w:eastAsia="Times New Roman" w:hAnsi="Arial" w:cs="Arial"/>
          <w:color w:val="333333"/>
          <w:spacing w:val="4"/>
          <w:sz w:val="24"/>
          <w:szCs w:val="24"/>
        </w:rPr>
        <w:t>blockchain</w:t>
      </w:r>
      <w:proofErr w:type="spellEnd"/>
      <w:r w:rsidRPr="004C0383">
        <w:rPr>
          <w:rFonts w:ascii="Arial" w:eastAsia="Times New Roman" w:hAnsi="Arial" w:cs="Arial"/>
          <w:color w:val="333333"/>
          <w:spacing w:val="4"/>
          <w:sz w:val="24"/>
          <w:szCs w:val="24"/>
        </w:rPr>
        <w:t xml:space="preserve"> managers.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supporting the sanitation of all food manufacturing processes and operations from wholesale to retail.</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supporting the growth and distribution of plants and associated products for home gardens.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in cafeterias used to feed workers, particularly worker populations sheltered against COVID-19</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lastRenderedPageBreak/>
        <w:t>Workers in animal diagnostic and food testing laboratories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essential for assistance programs and government payments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Government, private, and non-governmental organizations' workers essential for food assistance programs (including school lunch programs) and government payments.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Employees of companies engaged in the production, storage, transport, and distribution of chemicals; medicines, including cannabis; vaccines; and other substances used by the food and agriculture industry, including seeds, pesticides, herbicides, fertilizers, minerals, enrichments, and other agricultural production aids.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Animal agriculture workers to include those employed in veterinary health (including those involved in supporting emergency veterinary or livestock services); raising of animals for food; animal production operations; livestock markets; slaughter and packing plants, manufacturers, renderers, and associated regulatory and government workforce.</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Transportation supporting animal agricultural industries, including movement of animal medical and reproductive supplies and material, animal vaccines, animal drugs, feed ingredients, feed, and bedding, live animals, animal medical materials; transportation of deceased animals for disposal; and associated regulatory and government workforce</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who support sawmills and the manufacture and distribution of fiber and forest products, including, but not limited to timber, paper, and other wood and fiber products</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Employees engaged in the manufacture and maintenance of equipment and other infrastructure necessary to agricultural production and distribution</w:t>
      </w:r>
    </w:p>
    <w:p w:rsidR="004C0383" w:rsidRPr="004C0383" w:rsidRDefault="004C0383" w:rsidP="004C0383">
      <w:pPr>
        <w:numPr>
          <w:ilvl w:val="0"/>
          <w:numId w:val="1"/>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at animal care facilities that provide food, shelter, veterinary and/or routine care and other necessities of life for animals.</w:t>
      </w:r>
    </w:p>
    <w:p w:rsidR="004C0383" w:rsidRDefault="004C0383" w:rsidP="004C0383">
      <w:pPr>
        <w:spacing w:after="240"/>
        <w:rPr>
          <w:b/>
          <w:sz w:val="28"/>
          <w:szCs w:val="28"/>
          <w:u w:val="single"/>
        </w:rPr>
      </w:pPr>
      <w:r>
        <w:rPr>
          <w:b/>
          <w:sz w:val="28"/>
          <w:szCs w:val="28"/>
          <w:u w:val="single"/>
        </w:rPr>
        <w:t xml:space="preserve">Education and Childcare </w:t>
      </w:r>
    </w:p>
    <w:p w:rsidR="004C0383" w:rsidRPr="004C0383" w:rsidRDefault="004C0383" w:rsidP="004C0383">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 xml:space="preserve">All formal and informal childcare workers, including </w:t>
      </w:r>
      <w:r>
        <w:rPr>
          <w:rFonts w:ascii="Arial" w:eastAsia="Times New Roman" w:hAnsi="Arial" w:cs="Arial"/>
          <w:color w:val="333333"/>
          <w:spacing w:val="4"/>
          <w:sz w:val="24"/>
          <w:szCs w:val="24"/>
        </w:rPr>
        <w:t xml:space="preserve">licensed </w:t>
      </w:r>
      <w:r w:rsidRPr="004C0383">
        <w:rPr>
          <w:rFonts w:ascii="Arial" w:eastAsia="Times New Roman" w:hAnsi="Arial" w:cs="Arial"/>
          <w:color w:val="333333"/>
          <w:spacing w:val="4"/>
          <w:sz w:val="24"/>
          <w:szCs w:val="24"/>
        </w:rPr>
        <w:t>day care providers</w:t>
      </w:r>
    </w:p>
    <w:p w:rsidR="004C0383" w:rsidRPr="004C0383" w:rsidRDefault="004C0383" w:rsidP="004C0383">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All staff in colleges, universities, junior colleges, community colleges, and other postsecondary education facilities</w:t>
      </w:r>
    </w:p>
    <w:p w:rsidR="004C0383" w:rsidRPr="004C0383" w:rsidRDefault="004C0383" w:rsidP="004C0383">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All staff in educational support services and administration</w:t>
      </w:r>
    </w:p>
    <w:p w:rsidR="004C0383" w:rsidRPr="004C0383" w:rsidRDefault="004C0383" w:rsidP="004C0383">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All staff in Pre-kindergarten, elementary, middle, and high schools</w:t>
      </w:r>
    </w:p>
    <w:p w:rsidR="004C0383" w:rsidRPr="004C0383" w:rsidRDefault="004C0383" w:rsidP="004C0383">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lastRenderedPageBreak/>
        <w:t>All staff in technical and trade schools</w:t>
      </w:r>
    </w:p>
    <w:p w:rsidR="004C0383" w:rsidRDefault="004C0383" w:rsidP="004C0383">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Any other workers involved in child and/or student care, including school bus drivers and monitors, crosswalk guards, etc.</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All formal and informal childcare workers, including day care providers and the following:</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Examples of informal childcare workers include: public and private recreation programs such as YMCA/YWCA, on campus afterschool programs, individuals or programs receiving a child care subsidy. Occasional babysitting should not be included </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Resource Family approved homes and certified family homes providing emergency or short-term foster care. While foster care is in a home care setting, the nature of it is temporary and may be a revolving door of children staying and leaving needing care.  </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Those working in Children’s Residential Community Care facilities (e.g.  Short-Term Residential Therapeutic Program, group homes, temporary shelter care facilities)</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All staff in colleges, universities, junior colleges, community colleges, and other postsecondary education facilities</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All staff in educational support services and administration</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All staff in Pre-kindergarten, elementary, middle, and high schools</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All staff in technical and trade schools</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Any other workers involved in child and/or student care, including school bus drivers and monitors, crosswalk guards, etc.</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Library staff with occupational exposure to students</w:t>
      </w:r>
    </w:p>
    <w:p w:rsidR="0029490B" w:rsidRPr="0029490B" w:rsidRDefault="0029490B" w:rsidP="0029490B">
      <w:pPr>
        <w:numPr>
          <w:ilvl w:val="0"/>
          <w:numId w:val="2"/>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 xml:space="preserve">Janitors </w:t>
      </w:r>
      <w:r>
        <w:rPr>
          <w:rFonts w:ascii="Arial" w:eastAsia="Times New Roman" w:hAnsi="Arial" w:cs="Arial"/>
          <w:color w:val="333333"/>
          <w:spacing w:val="4"/>
          <w:sz w:val="24"/>
          <w:szCs w:val="24"/>
        </w:rPr>
        <w:t xml:space="preserve">that </w:t>
      </w:r>
      <w:r w:rsidRPr="0029490B">
        <w:rPr>
          <w:rFonts w:ascii="Arial" w:eastAsia="Times New Roman" w:hAnsi="Arial" w:cs="Arial"/>
          <w:color w:val="333333"/>
          <w:spacing w:val="4"/>
          <w:sz w:val="24"/>
          <w:szCs w:val="24"/>
        </w:rPr>
        <w:t>provide support to the health care, emergency services, and education secto</w:t>
      </w:r>
      <w:r>
        <w:rPr>
          <w:rFonts w:ascii="Arial" w:eastAsia="Times New Roman" w:hAnsi="Arial" w:cs="Arial"/>
          <w:color w:val="333333"/>
          <w:spacing w:val="4"/>
          <w:sz w:val="24"/>
          <w:szCs w:val="24"/>
        </w:rPr>
        <w:t xml:space="preserve">rs. </w:t>
      </w:r>
      <w:r w:rsidRPr="0029490B">
        <w:rPr>
          <w:rFonts w:ascii="Arial" w:eastAsia="Times New Roman" w:hAnsi="Arial" w:cs="Arial"/>
          <w:color w:val="333333"/>
          <w:spacing w:val="4"/>
          <w:sz w:val="24"/>
          <w:szCs w:val="24"/>
        </w:rPr>
        <w:t xml:space="preserve">This includes a vast majority of sectors with janitorial support. </w:t>
      </w:r>
    </w:p>
    <w:p w:rsidR="0029490B" w:rsidRPr="004C0383" w:rsidRDefault="0029490B" w:rsidP="0029490B">
      <w:pPr>
        <w:shd w:val="clear" w:color="auto" w:fill="FFFFF7"/>
        <w:spacing w:before="100" w:beforeAutospacing="1" w:after="240" w:line="240" w:lineRule="auto"/>
        <w:ind w:left="720"/>
        <w:rPr>
          <w:rFonts w:ascii="Arial" w:eastAsia="Times New Roman" w:hAnsi="Arial" w:cs="Arial"/>
          <w:color w:val="333333"/>
          <w:spacing w:val="4"/>
          <w:sz w:val="24"/>
          <w:szCs w:val="24"/>
        </w:rPr>
      </w:pPr>
    </w:p>
    <w:p w:rsidR="004C0383" w:rsidRDefault="004C0383">
      <w:pPr>
        <w:rPr>
          <w:b/>
          <w:sz w:val="28"/>
          <w:szCs w:val="28"/>
          <w:u w:val="single"/>
        </w:rPr>
      </w:pPr>
      <w:r>
        <w:rPr>
          <w:b/>
          <w:sz w:val="28"/>
          <w:szCs w:val="28"/>
          <w:u w:val="single"/>
        </w:rPr>
        <w:t>Emergency Services Personnel</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 xml:space="preserve">Public, private, and voluntary personnel (front line and management) in emergency management, law enforcement, fire and rescue services, emergency medical services, corrections, rehabilitation and reentry, search </w:t>
      </w:r>
      <w:r w:rsidRPr="004C0383">
        <w:rPr>
          <w:rFonts w:ascii="Arial" w:eastAsia="Times New Roman" w:hAnsi="Arial" w:cs="Arial"/>
          <w:color w:val="333333"/>
          <w:spacing w:val="4"/>
          <w:sz w:val="24"/>
          <w:szCs w:val="24"/>
        </w:rPr>
        <w:lastRenderedPageBreak/>
        <w:t>and rescue, hazardous material response, and technicians supporting maritime and aviation emergency response.</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Public Safety Answering Points and 911 call center employees; personnel involved in access to emergency services including the emergency alert system and wireless emergency alerts.</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Fusion Center employees</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who support weather disaster / natural hazard monitoring, response, mitigation, and prevention, including personnel conducting, supporting, or facilitating wildfire mitigation activities</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 including contracted vendors - who maintain, manufacture, or supply equipment and services supporting law enforcement, fire, EMS, and emergency service response operations (including safety equipment, electronic security, and uniforms)</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responding to abuse and neglect of children, elders and dependent adults.</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Animal control officers and humane officers</w:t>
      </w:r>
    </w:p>
    <w:p w:rsidR="004C0383" w:rsidRP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Security staff to maintain building access control and physical security measures</w:t>
      </w:r>
    </w:p>
    <w:p w:rsidR="004C0383" w:rsidRDefault="004C0383" w:rsidP="004C0383">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4C0383">
        <w:rPr>
          <w:rFonts w:ascii="Arial" w:eastAsia="Times New Roman" w:hAnsi="Arial" w:cs="Arial"/>
          <w:color w:val="333333"/>
          <w:spacing w:val="4"/>
          <w:sz w:val="24"/>
          <w:szCs w:val="24"/>
        </w:rPr>
        <w:t>Workers and contracted vendors who maintain and provide services and supplies to public safety facilities, including emergency communication center, public safety answering points, public safety communications centers, emergency operation centers, fire and emergency medical services stations, police and law enforcement stations and facilities.</w:t>
      </w:r>
    </w:p>
    <w:p w:rsidR="008B7759" w:rsidRPr="008B7759" w:rsidRDefault="008B7759" w:rsidP="008B7759">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8B7759">
        <w:rPr>
          <w:rFonts w:ascii="Arial" w:eastAsia="Times New Roman" w:hAnsi="Arial" w:cs="Arial"/>
          <w:color w:val="333333"/>
          <w:spacing w:val="4"/>
          <w:sz w:val="24"/>
          <w:szCs w:val="24"/>
        </w:rPr>
        <w:t>Utility Workers (Electricity, gas, water, waste, roads/highways) that provide emergency support. </w:t>
      </w:r>
    </w:p>
    <w:p w:rsidR="008B7759" w:rsidRPr="008B7759" w:rsidRDefault="008B7759" w:rsidP="008B7759">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8B7759">
        <w:rPr>
          <w:rFonts w:ascii="Arial" w:eastAsia="Times New Roman" w:hAnsi="Arial" w:cs="Arial"/>
          <w:color w:val="333333"/>
          <w:spacing w:val="4"/>
          <w:sz w:val="24"/>
          <w:szCs w:val="24"/>
        </w:rPr>
        <w:t>Disaster Service Workers (DSWs) if at risk of occupational exposure, once activated for emergency response, including those working in temporary non-congregate shelters</w:t>
      </w:r>
    </w:p>
    <w:p w:rsidR="008B7759" w:rsidRDefault="008B7759" w:rsidP="008B7759">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8B7759">
        <w:rPr>
          <w:rFonts w:ascii="Arial" w:eastAsia="Times New Roman" w:hAnsi="Arial" w:cs="Arial"/>
          <w:color w:val="333333"/>
          <w:spacing w:val="4"/>
          <w:sz w:val="24"/>
          <w:szCs w:val="24"/>
        </w:rPr>
        <w:t>Social Workers. Workers responding to abuse and neglect of children, elders and dependent adults, including all front-line social workers and other staff required to enter the home (including mobile home or tent) of the individual at risk</w:t>
      </w:r>
    </w:p>
    <w:p w:rsidR="0029490B" w:rsidRPr="0029490B" w:rsidRDefault="0029490B" w:rsidP="0029490B">
      <w:pPr>
        <w:numPr>
          <w:ilvl w:val="0"/>
          <w:numId w:val="3"/>
        </w:numPr>
        <w:shd w:val="clear" w:color="auto" w:fill="FFFFF7"/>
        <w:spacing w:before="100" w:beforeAutospacing="1" w:after="240" w:line="240" w:lineRule="auto"/>
        <w:rPr>
          <w:rFonts w:ascii="Arial" w:eastAsia="Times New Roman" w:hAnsi="Arial" w:cs="Arial"/>
          <w:color w:val="333333"/>
          <w:spacing w:val="4"/>
          <w:sz w:val="24"/>
          <w:szCs w:val="24"/>
        </w:rPr>
      </w:pPr>
      <w:r w:rsidRPr="0029490B">
        <w:rPr>
          <w:rFonts w:ascii="Arial" w:eastAsia="Times New Roman" w:hAnsi="Arial" w:cs="Arial"/>
          <w:color w:val="333333"/>
          <w:spacing w:val="4"/>
          <w:sz w:val="24"/>
          <w:szCs w:val="24"/>
        </w:rPr>
        <w:t xml:space="preserve">Janitors </w:t>
      </w:r>
      <w:r>
        <w:rPr>
          <w:rFonts w:ascii="Arial" w:eastAsia="Times New Roman" w:hAnsi="Arial" w:cs="Arial"/>
          <w:color w:val="333333"/>
          <w:spacing w:val="4"/>
          <w:sz w:val="24"/>
          <w:szCs w:val="24"/>
        </w:rPr>
        <w:t xml:space="preserve">that </w:t>
      </w:r>
      <w:r w:rsidRPr="0029490B">
        <w:rPr>
          <w:rFonts w:ascii="Arial" w:eastAsia="Times New Roman" w:hAnsi="Arial" w:cs="Arial"/>
          <w:color w:val="333333"/>
          <w:spacing w:val="4"/>
          <w:sz w:val="24"/>
          <w:szCs w:val="24"/>
        </w:rPr>
        <w:t>provide support to the health care, emergency services, and education secto</w:t>
      </w:r>
      <w:r>
        <w:rPr>
          <w:rFonts w:ascii="Arial" w:eastAsia="Times New Roman" w:hAnsi="Arial" w:cs="Arial"/>
          <w:color w:val="333333"/>
          <w:spacing w:val="4"/>
          <w:sz w:val="24"/>
          <w:szCs w:val="24"/>
        </w:rPr>
        <w:t xml:space="preserve">rs. </w:t>
      </w:r>
      <w:r w:rsidRPr="0029490B">
        <w:rPr>
          <w:rFonts w:ascii="Arial" w:eastAsia="Times New Roman" w:hAnsi="Arial" w:cs="Arial"/>
          <w:color w:val="333333"/>
          <w:spacing w:val="4"/>
          <w:sz w:val="24"/>
          <w:szCs w:val="24"/>
        </w:rPr>
        <w:t xml:space="preserve">This includes a vast majority of sectors with janitorial support. </w:t>
      </w:r>
    </w:p>
    <w:p w:rsidR="00E727BD" w:rsidRPr="00E727BD" w:rsidRDefault="00E727BD" w:rsidP="00E727BD">
      <w:pPr>
        <w:shd w:val="clear" w:color="auto" w:fill="FFFFF7"/>
        <w:spacing w:before="100" w:beforeAutospacing="1" w:after="240" w:line="240" w:lineRule="auto"/>
        <w:ind w:left="360"/>
        <w:rPr>
          <w:rFonts w:ascii="Arial" w:eastAsia="Times New Roman" w:hAnsi="Arial" w:cs="Arial"/>
          <w:color w:val="333333"/>
          <w:spacing w:val="4"/>
          <w:sz w:val="24"/>
          <w:szCs w:val="24"/>
        </w:rPr>
      </w:pPr>
      <w:r w:rsidRPr="00E727BD">
        <w:rPr>
          <w:rFonts w:ascii="Arial" w:eastAsia="Times New Roman" w:hAnsi="Arial" w:cs="Arial"/>
          <w:color w:val="333333"/>
          <w:spacing w:val="4"/>
          <w:sz w:val="24"/>
          <w:szCs w:val="24"/>
        </w:rPr>
        <w:lastRenderedPageBreak/>
        <w:t>Transit:</w:t>
      </w:r>
    </w:p>
    <w:p w:rsidR="00E727BD" w:rsidRDefault="00E727BD" w:rsidP="00E727BD">
      <w:pPr>
        <w:shd w:val="clear" w:color="auto" w:fill="FFFFF7"/>
        <w:spacing w:before="100" w:beforeAutospacing="1" w:after="240" w:line="240" w:lineRule="auto"/>
        <w:ind w:left="360"/>
        <w:rPr>
          <w:rFonts w:ascii="Arial" w:eastAsia="Times New Roman" w:hAnsi="Arial" w:cs="Arial"/>
          <w:color w:val="333333"/>
          <w:spacing w:val="4"/>
          <w:sz w:val="24"/>
          <w:szCs w:val="24"/>
        </w:rPr>
      </w:pPr>
      <w:r w:rsidRPr="00E727BD">
        <w:rPr>
          <w:rFonts w:ascii="Arial" w:eastAsia="Times New Roman" w:hAnsi="Arial" w:cs="Arial"/>
          <w:color w:val="333333"/>
          <w:spacing w:val="4"/>
          <w:sz w:val="24"/>
          <w:szCs w:val="24"/>
        </w:rPr>
        <w:t>Public transit/airport and commercial airlines. Public transit workers, including airport and commercial airline workers (but not private airplanes)</w:t>
      </w:r>
      <w:bookmarkStart w:id="0" w:name="_GoBack"/>
      <w:bookmarkEnd w:id="0"/>
    </w:p>
    <w:p w:rsidR="0029490B" w:rsidRDefault="0029490B" w:rsidP="0029490B">
      <w:pPr>
        <w:shd w:val="clear" w:color="auto" w:fill="FFFFF7"/>
        <w:spacing w:before="100" w:beforeAutospacing="1" w:after="240" w:line="240" w:lineRule="auto"/>
        <w:ind w:left="360"/>
        <w:rPr>
          <w:rFonts w:ascii="Arial" w:eastAsia="Times New Roman" w:hAnsi="Arial" w:cs="Arial"/>
          <w:color w:val="333333"/>
          <w:spacing w:val="4"/>
          <w:sz w:val="24"/>
          <w:szCs w:val="24"/>
        </w:rPr>
      </w:pPr>
      <w:r>
        <w:rPr>
          <w:rFonts w:ascii="Arial" w:eastAsia="Times New Roman" w:hAnsi="Arial" w:cs="Arial"/>
          <w:color w:val="333333"/>
          <w:spacing w:val="4"/>
          <w:sz w:val="24"/>
          <w:szCs w:val="24"/>
        </w:rPr>
        <w:t>Couriers:</w:t>
      </w:r>
    </w:p>
    <w:p w:rsidR="0029490B" w:rsidRPr="0029490B" w:rsidRDefault="0029490B" w:rsidP="0029490B">
      <w:pPr>
        <w:shd w:val="clear" w:color="auto" w:fill="FFFFF7"/>
        <w:spacing w:before="100" w:beforeAutospacing="1" w:after="240" w:line="240" w:lineRule="auto"/>
        <w:ind w:left="360"/>
        <w:rPr>
          <w:rFonts w:ascii="Arial" w:eastAsia="Times New Roman" w:hAnsi="Arial" w:cs="Arial"/>
          <w:color w:val="333333"/>
          <w:spacing w:val="4"/>
          <w:sz w:val="24"/>
          <w:szCs w:val="24"/>
        </w:rPr>
      </w:pPr>
      <w:r>
        <w:rPr>
          <w:rFonts w:ascii="Arial" w:eastAsia="Times New Roman" w:hAnsi="Arial" w:cs="Arial"/>
          <w:color w:val="333333"/>
          <w:spacing w:val="4"/>
          <w:sz w:val="24"/>
          <w:szCs w:val="24"/>
        </w:rPr>
        <w:t>C</w:t>
      </w:r>
      <w:r w:rsidRPr="0029490B">
        <w:rPr>
          <w:rFonts w:ascii="Arial" w:eastAsia="Times New Roman" w:hAnsi="Arial" w:cs="Arial"/>
          <w:color w:val="333333"/>
          <w:spacing w:val="4"/>
          <w:sz w:val="24"/>
          <w:szCs w:val="24"/>
        </w:rPr>
        <w:t>ouriers are eligible</w:t>
      </w:r>
      <w:r>
        <w:rPr>
          <w:rFonts w:ascii="Arial" w:eastAsia="Times New Roman" w:hAnsi="Arial" w:cs="Arial"/>
          <w:color w:val="333333"/>
          <w:spacing w:val="4"/>
          <w:sz w:val="24"/>
          <w:szCs w:val="24"/>
        </w:rPr>
        <w:t xml:space="preserve"> for vaccination</w:t>
      </w:r>
      <w:r w:rsidRPr="0029490B">
        <w:rPr>
          <w:rFonts w:ascii="Arial" w:eastAsia="Times New Roman" w:hAnsi="Arial" w:cs="Arial"/>
          <w:color w:val="333333"/>
          <w:spacing w:val="4"/>
          <w:sz w:val="24"/>
          <w:szCs w:val="24"/>
        </w:rPr>
        <w:t xml:space="preserve"> as they play a critical role in the public health response spectrum as defined in #8 in the </w:t>
      </w:r>
      <w:hyperlink r:id="rId5" w:history="1">
        <w:r w:rsidRPr="0029490B">
          <w:rPr>
            <w:rFonts w:eastAsia="Times New Roman"/>
            <w:color w:val="333333"/>
            <w:spacing w:val="4"/>
            <w:sz w:val="24"/>
            <w:szCs w:val="24"/>
          </w:rPr>
          <w:t>Health Care and Public Health Sector from the CA Essential Workforce</w:t>
        </w:r>
      </w:hyperlink>
      <w:r w:rsidRPr="0029490B">
        <w:rPr>
          <w:rFonts w:ascii="Arial" w:eastAsia="Times New Roman" w:hAnsi="Arial" w:cs="Arial"/>
          <w:color w:val="333333"/>
          <w:spacing w:val="4"/>
          <w:sz w:val="24"/>
          <w:szCs w:val="24"/>
        </w:rPr>
        <w:t> list.</w:t>
      </w:r>
    </w:p>
    <w:p w:rsidR="0029490B" w:rsidRPr="008B7759" w:rsidRDefault="0029490B" w:rsidP="0029490B">
      <w:pPr>
        <w:shd w:val="clear" w:color="auto" w:fill="FFFFF7"/>
        <w:spacing w:before="100" w:beforeAutospacing="1" w:after="240" w:line="240" w:lineRule="auto"/>
        <w:rPr>
          <w:rFonts w:ascii="Arial" w:eastAsia="Times New Roman" w:hAnsi="Arial" w:cs="Arial"/>
          <w:color w:val="333333"/>
          <w:spacing w:val="4"/>
          <w:sz w:val="24"/>
          <w:szCs w:val="24"/>
        </w:rPr>
      </w:pPr>
    </w:p>
    <w:p w:rsidR="004C0383" w:rsidRDefault="00E727BD">
      <w:pPr>
        <w:rPr>
          <w:sz w:val="28"/>
          <w:szCs w:val="28"/>
        </w:rPr>
      </w:pPr>
      <w:hyperlink r:id="rId6" w:history="1">
        <w:r w:rsidR="00D06491" w:rsidRPr="00BE01F2">
          <w:rPr>
            <w:rStyle w:val="Hyperlink"/>
            <w:sz w:val="28"/>
            <w:szCs w:val="28"/>
          </w:rPr>
          <w:t>https://covid19.ca.gov/essential-workforce/</w:t>
        </w:r>
      </w:hyperlink>
      <w:r w:rsidR="00D06491">
        <w:rPr>
          <w:sz w:val="28"/>
          <w:szCs w:val="28"/>
        </w:rPr>
        <w:t xml:space="preserve"> </w:t>
      </w:r>
    </w:p>
    <w:p w:rsidR="00E727BD" w:rsidRDefault="00E727BD" w:rsidP="00E727BD">
      <w:pPr>
        <w:rPr>
          <w:sz w:val="28"/>
          <w:szCs w:val="28"/>
        </w:rPr>
      </w:pPr>
      <w:hyperlink r:id="rId7" w:history="1">
        <w:r w:rsidRPr="005D6EEF">
          <w:rPr>
            <w:rStyle w:val="Hyperlink"/>
            <w:sz w:val="28"/>
            <w:szCs w:val="28"/>
          </w:rPr>
          <w:t>https://www.cdph.ca.gov/Programs/CID/DCDC/Pages/COVID-19/VaccineAllocationGuidelines.aspx</w:t>
        </w:r>
      </w:hyperlink>
      <w:r>
        <w:rPr>
          <w:sz w:val="28"/>
          <w:szCs w:val="28"/>
        </w:rPr>
        <w:t xml:space="preserve"> </w:t>
      </w:r>
    </w:p>
    <w:p w:rsidR="00E727BD" w:rsidRDefault="00E727BD">
      <w:pPr>
        <w:rPr>
          <w:sz w:val="28"/>
          <w:szCs w:val="28"/>
        </w:rPr>
      </w:pPr>
    </w:p>
    <w:p w:rsidR="0039795B" w:rsidRPr="004C0383" w:rsidRDefault="008B7759">
      <w:pPr>
        <w:rPr>
          <w:sz w:val="28"/>
          <w:szCs w:val="28"/>
        </w:rPr>
      </w:pPr>
      <w:r>
        <w:rPr>
          <w:sz w:val="28"/>
          <w:szCs w:val="28"/>
        </w:rPr>
        <w:t>Updated March 12,</w:t>
      </w:r>
      <w:r w:rsidR="0039795B">
        <w:rPr>
          <w:sz w:val="28"/>
          <w:szCs w:val="28"/>
        </w:rPr>
        <w:t xml:space="preserve"> 2021</w:t>
      </w:r>
    </w:p>
    <w:sectPr w:rsidR="0039795B" w:rsidRPr="004C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3A07"/>
    <w:multiLevelType w:val="multilevel"/>
    <w:tmpl w:val="DC62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C156B"/>
    <w:multiLevelType w:val="multilevel"/>
    <w:tmpl w:val="D2D27A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1A3A22"/>
    <w:multiLevelType w:val="multilevel"/>
    <w:tmpl w:val="F4867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6EA5"/>
    <w:multiLevelType w:val="multilevel"/>
    <w:tmpl w:val="154A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26078"/>
    <w:multiLevelType w:val="multilevel"/>
    <w:tmpl w:val="583EA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83"/>
    <w:rsid w:val="0029490B"/>
    <w:rsid w:val="0039795B"/>
    <w:rsid w:val="004C0383"/>
    <w:rsid w:val="008B7759"/>
    <w:rsid w:val="00C373DA"/>
    <w:rsid w:val="00D06491"/>
    <w:rsid w:val="00E7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A9D2"/>
  <w15:chartTrackingRefBased/>
  <w15:docId w15:val="{7E720800-A224-417E-A935-B5C2E43B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491"/>
    <w:rPr>
      <w:color w:val="0563C1" w:themeColor="hyperlink"/>
      <w:u w:val="single"/>
    </w:rPr>
  </w:style>
  <w:style w:type="paragraph" w:styleId="NormalWeb">
    <w:name w:val="Normal (Web)"/>
    <w:basedOn w:val="Normal"/>
    <w:uiPriority w:val="99"/>
    <w:semiHidden/>
    <w:unhideWhenUsed/>
    <w:rsid w:val="002949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29490B"/>
  </w:style>
  <w:style w:type="character" w:customStyle="1" w:styleId="ms-rtestyle-intenseemphasis">
    <w:name w:val="ms-rtestyle-intenseemphasis"/>
    <w:basedOn w:val="DefaultParagraphFont"/>
    <w:rsid w:val="0029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39595">
      <w:bodyDiv w:val="1"/>
      <w:marLeft w:val="0"/>
      <w:marRight w:val="0"/>
      <w:marTop w:val="0"/>
      <w:marBottom w:val="0"/>
      <w:divBdr>
        <w:top w:val="none" w:sz="0" w:space="0" w:color="auto"/>
        <w:left w:val="none" w:sz="0" w:space="0" w:color="auto"/>
        <w:bottom w:val="none" w:sz="0" w:space="0" w:color="auto"/>
        <w:right w:val="none" w:sz="0" w:space="0" w:color="auto"/>
      </w:divBdr>
    </w:div>
    <w:div w:id="1245064909">
      <w:bodyDiv w:val="1"/>
      <w:marLeft w:val="0"/>
      <w:marRight w:val="0"/>
      <w:marTop w:val="0"/>
      <w:marBottom w:val="0"/>
      <w:divBdr>
        <w:top w:val="none" w:sz="0" w:space="0" w:color="auto"/>
        <w:left w:val="none" w:sz="0" w:space="0" w:color="auto"/>
        <w:bottom w:val="none" w:sz="0" w:space="0" w:color="auto"/>
        <w:right w:val="none" w:sz="0" w:space="0" w:color="auto"/>
      </w:divBdr>
    </w:div>
    <w:div w:id="1288468876">
      <w:bodyDiv w:val="1"/>
      <w:marLeft w:val="0"/>
      <w:marRight w:val="0"/>
      <w:marTop w:val="0"/>
      <w:marBottom w:val="0"/>
      <w:divBdr>
        <w:top w:val="none" w:sz="0" w:space="0" w:color="auto"/>
        <w:left w:val="none" w:sz="0" w:space="0" w:color="auto"/>
        <w:bottom w:val="none" w:sz="0" w:space="0" w:color="auto"/>
        <w:right w:val="none" w:sz="0" w:space="0" w:color="auto"/>
      </w:divBdr>
    </w:div>
    <w:div w:id="1357267686">
      <w:bodyDiv w:val="1"/>
      <w:marLeft w:val="0"/>
      <w:marRight w:val="0"/>
      <w:marTop w:val="0"/>
      <w:marBottom w:val="0"/>
      <w:divBdr>
        <w:top w:val="none" w:sz="0" w:space="0" w:color="auto"/>
        <w:left w:val="none" w:sz="0" w:space="0" w:color="auto"/>
        <w:bottom w:val="none" w:sz="0" w:space="0" w:color="auto"/>
        <w:right w:val="none" w:sz="0" w:space="0" w:color="auto"/>
      </w:divBdr>
    </w:div>
    <w:div w:id="1761442622">
      <w:bodyDiv w:val="1"/>
      <w:marLeft w:val="0"/>
      <w:marRight w:val="0"/>
      <w:marTop w:val="0"/>
      <w:marBottom w:val="0"/>
      <w:divBdr>
        <w:top w:val="none" w:sz="0" w:space="0" w:color="auto"/>
        <w:left w:val="none" w:sz="0" w:space="0" w:color="auto"/>
        <w:bottom w:val="none" w:sz="0" w:space="0" w:color="auto"/>
        <w:right w:val="none" w:sz="0" w:space="0" w:color="auto"/>
      </w:divBdr>
    </w:div>
    <w:div w:id="20635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h.ca.gov/Programs/CID/DCDC/Pages/COVID-19/VaccineAllocationGuideli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ca.gov/essential-workforce/" TargetMode="External"/><Relationship Id="rId5" Type="http://schemas.openxmlformats.org/officeDocument/2006/relationships/hyperlink" Target="https://covid19.ca.gov/essential-workfor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Travis</dc:creator>
  <cp:keywords/>
  <dc:description/>
  <cp:lastModifiedBy>Amy Travis</cp:lastModifiedBy>
  <cp:revision>4</cp:revision>
  <dcterms:created xsi:type="dcterms:W3CDTF">2021-03-12T17:39:00Z</dcterms:created>
  <dcterms:modified xsi:type="dcterms:W3CDTF">2021-03-12T18:15:00Z</dcterms:modified>
</cp:coreProperties>
</file>